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F4" w:rsidRDefault="00B01CF4">
      <w:pPr>
        <w:widowControl w:val="0"/>
        <w:spacing w:line="276" w:lineRule="auto"/>
        <w:rPr>
          <w:rFonts w:ascii="Arial" w:hAnsi="Arial" w:cs="Arial"/>
          <w:sz w:val="22"/>
          <w:szCs w:val="22"/>
        </w:rPr>
      </w:pPr>
      <w:bookmarkStart w:id="0" w:name="_GoBack"/>
      <w:bookmarkEnd w:id="0"/>
    </w:p>
    <w:tbl>
      <w:tblPr>
        <w:tblW w:w="9544" w:type="dxa"/>
        <w:tblLayout w:type="fixed"/>
        <w:tblLook w:val="0000"/>
      </w:tblPr>
      <w:tblGrid>
        <w:gridCol w:w="3111"/>
        <w:gridCol w:w="1661"/>
        <w:gridCol w:w="4282"/>
        <w:gridCol w:w="490"/>
      </w:tblGrid>
      <w:tr w:rsidR="00B01CF4" w:rsidTr="00EF075B">
        <w:tc>
          <w:tcPr>
            <w:tcW w:w="4772" w:type="dxa"/>
            <w:gridSpan w:val="2"/>
          </w:tcPr>
          <w:p w:rsidR="00B01CF4" w:rsidRPr="002C7D50" w:rsidRDefault="00B01CF4" w:rsidP="002C7D50">
            <w:pPr>
              <w:tabs>
                <w:tab w:val="left" w:pos="2891"/>
                <w:tab w:val="center" w:pos="4419"/>
                <w:tab w:val="right" w:pos="8838"/>
              </w:tabs>
              <w:jc w:val="center"/>
              <w:rPr>
                <w:sz w:val="20"/>
                <w:szCs w:val="20"/>
              </w:rPr>
            </w:pPr>
            <w:r w:rsidRPr="00F13F67">
              <w:rPr>
                <w:noProof/>
                <w:sz w:val="20"/>
                <w:szCs w:val="20"/>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39pt;height:51.75pt;visibility:visible">
                  <v:imagedata r:id="rId7" o:title=""/>
                </v:shape>
              </w:pict>
            </w:r>
            <w:r w:rsidRPr="002C7D50">
              <w:rPr>
                <w:sz w:val="20"/>
                <w:szCs w:val="20"/>
              </w:rPr>
              <w:t xml:space="preserve"> </w:t>
            </w:r>
          </w:p>
          <w:p w:rsidR="00B01CF4" w:rsidRPr="002C7D50" w:rsidRDefault="00B01CF4" w:rsidP="002C7D50">
            <w:pPr>
              <w:tabs>
                <w:tab w:val="left" w:pos="2891"/>
                <w:tab w:val="center" w:pos="4419"/>
                <w:tab w:val="right" w:pos="8838"/>
              </w:tabs>
              <w:jc w:val="center"/>
              <w:rPr>
                <w:sz w:val="20"/>
                <w:szCs w:val="20"/>
              </w:rPr>
            </w:pPr>
            <w:r w:rsidRPr="002C7D50">
              <w:rPr>
                <w:sz w:val="20"/>
                <w:szCs w:val="20"/>
              </w:rPr>
              <w:t>GOBIERNO DE LA CIUDAD DE BUENOS AIRES</w:t>
            </w:r>
          </w:p>
          <w:p w:rsidR="00B01CF4" w:rsidRPr="002C7D50" w:rsidRDefault="00B01CF4" w:rsidP="002C7D50">
            <w:pPr>
              <w:tabs>
                <w:tab w:val="center" w:pos="4419"/>
                <w:tab w:val="right" w:pos="8838"/>
              </w:tabs>
              <w:jc w:val="center"/>
              <w:rPr>
                <w:sz w:val="20"/>
                <w:szCs w:val="20"/>
              </w:rPr>
            </w:pPr>
            <w:r w:rsidRPr="002C7D50">
              <w:rPr>
                <w:sz w:val="20"/>
                <w:szCs w:val="20"/>
              </w:rPr>
              <w:t>Ministerio de Educación</w:t>
            </w:r>
          </w:p>
          <w:p w:rsidR="00B01CF4" w:rsidRPr="002C7D50" w:rsidRDefault="00B01CF4" w:rsidP="002C7D50">
            <w:pPr>
              <w:tabs>
                <w:tab w:val="center" w:pos="4419"/>
                <w:tab w:val="right" w:pos="8838"/>
              </w:tabs>
              <w:jc w:val="center"/>
              <w:rPr>
                <w:sz w:val="20"/>
                <w:szCs w:val="20"/>
              </w:rPr>
            </w:pPr>
            <w:r w:rsidRPr="002C7D50">
              <w:rPr>
                <w:sz w:val="20"/>
                <w:szCs w:val="20"/>
              </w:rPr>
              <w:t>Dirección General de Educación Superior</w:t>
            </w:r>
          </w:p>
        </w:tc>
        <w:tc>
          <w:tcPr>
            <w:tcW w:w="4772" w:type="dxa"/>
            <w:gridSpan w:val="2"/>
          </w:tcPr>
          <w:p w:rsidR="00B01CF4" w:rsidRPr="002C7D50" w:rsidRDefault="00B01CF4" w:rsidP="002C7D50">
            <w:pPr>
              <w:tabs>
                <w:tab w:val="center" w:pos="4419"/>
                <w:tab w:val="right" w:pos="8838"/>
              </w:tabs>
              <w:jc w:val="center"/>
              <w:rPr>
                <w:sz w:val="20"/>
                <w:szCs w:val="20"/>
              </w:rPr>
            </w:pPr>
            <w:r>
              <w:rPr>
                <w:noProof/>
                <w:lang w:val="es-AR"/>
              </w:rPr>
              <w:pict>
                <v:shape id="image4.png" o:spid="_x0000_s1026" type="#_x0000_t75" style="position:absolute;left:0;text-align:left;margin-left:69.75pt;margin-top:1.5pt;width:67.5pt;height:54.75pt;z-index:251658240;visibility:visible;mso-position-horizontal-relative:margin;mso-position-vertical-relative:text">
                  <v:imagedata r:id="rId8" o:title=""/>
                  <w10:wrap anchorx="margin"/>
                </v:shape>
              </w:pict>
            </w:r>
          </w:p>
          <w:p w:rsidR="00B01CF4" w:rsidRPr="002C7D50" w:rsidRDefault="00B01CF4" w:rsidP="002C7D50">
            <w:pPr>
              <w:tabs>
                <w:tab w:val="center" w:pos="4419"/>
                <w:tab w:val="right" w:pos="8838"/>
              </w:tabs>
              <w:jc w:val="center"/>
              <w:rPr>
                <w:sz w:val="20"/>
                <w:szCs w:val="20"/>
              </w:rPr>
            </w:pPr>
          </w:p>
          <w:p w:rsidR="00B01CF4" w:rsidRPr="002C7D50" w:rsidRDefault="00B01CF4" w:rsidP="002C7D50">
            <w:pPr>
              <w:tabs>
                <w:tab w:val="center" w:pos="4419"/>
                <w:tab w:val="right" w:pos="8838"/>
              </w:tabs>
              <w:jc w:val="center"/>
              <w:rPr>
                <w:sz w:val="20"/>
                <w:szCs w:val="20"/>
              </w:rPr>
            </w:pPr>
          </w:p>
          <w:p w:rsidR="00B01CF4" w:rsidRPr="002C7D50" w:rsidRDefault="00B01CF4" w:rsidP="002C7D50">
            <w:pPr>
              <w:tabs>
                <w:tab w:val="center" w:pos="4419"/>
                <w:tab w:val="right" w:pos="8838"/>
              </w:tabs>
              <w:jc w:val="center"/>
              <w:rPr>
                <w:sz w:val="20"/>
                <w:szCs w:val="20"/>
              </w:rPr>
            </w:pPr>
          </w:p>
          <w:p w:rsidR="00B01CF4" w:rsidRPr="002C7D50" w:rsidRDefault="00B01CF4" w:rsidP="002C7D50">
            <w:pPr>
              <w:tabs>
                <w:tab w:val="center" w:pos="4419"/>
                <w:tab w:val="right" w:pos="8838"/>
              </w:tabs>
              <w:jc w:val="center"/>
              <w:rPr>
                <w:sz w:val="20"/>
                <w:szCs w:val="20"/>
              </w:rPr>
            </w:pPr>
          </w:p>
          <w:p w:rsidR="00B01CF4" w:rsidRPr="002C7D50" w:rsidRDefault="00B01CF4" w:rsidP="002C7D50">
            <w:pPr>
              <w:tabs>
                <w:tab w:val="center" w:pos="4419"/>
                <w:tab w:val="right" w:pos="8838"/>
              </w:tabs>
              <w:jc w:val="center"/>
              <w:rPr>
                <w:sz w:val="20"/>
                <w:szCs w:val="20"/>
              </w:rPr>
            </w:pPr>
            <w:r w:rsidRPr="002C7D50">
              <w:rPr>
                <w:sz w:val="20"/>
                <w:szCs w:val="20"/>
              </w:rPr>
              <w:t>INSTITUTO DE ENSEÑANZA SUPERIOR EN</w:t>
            </w:r>
          </w:p>
          <w:p w:rsidR="00B01CF4" w:rsidRPr="002C7D50" w:rsidRDefault="00B01CF4" w:rsidP="002C7D50">
            <w:pPr>
              <w:tabs>
                <w:tab w:val="center" w:pos="4419"/>
                <w:tab w:val="right" w:pos="8838"/>
              </w:tabs>
              <w:jc w:val="center"/>
              <w:rPr>
                <w:sz w:val="20"/>
                <w:szCs w:val="20"/>
              </w:rPr>
            </w:pPr>
            <w:r w:rsidRPr="002C7D50">
              <w:rPr>
                <w:sz w:val="20"/>
                <w:szCs w:val="20"/>
              </w:rPr>
              <w:t>LENGUAS VIVAS</w:t>
            </w:r>
          </w:p>
          <w:p w:rsidR="00B01CF4" w:rsidRPr="002C7D50" w:rsidRDefault="00B01CF4" w:rsidP="002C7D50">
            <w:pPr>
              <w:tabs>
                <w:tab w:val="center" w:pos="4419"/>
                <w:tab w:val="right" w:pos="8838"/>
              </w:tabs>
              <w:jc w:val="center"/>
              <w:rPr>
                <w:sz w:val="20"/>
                <w:szCs w:val="20"/>
              </w:rPr>
            </w:pPr>
            <w:r w:rsidRPr="002C7D50">
              <w:rPr>
                <w:sz w:val="20"/>
                <w:szCs w:val="20"/>
              </w:rPr>
              <w:t>“Juan Ramón Fernández”</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rPr>
                <w:rFonts w:ascii="Arial" w:hAnsi="Arial" w:cs="Arial"/>
                <w:b/>
                <w:lang w:val="pt-BR"/>
              </w:rPr>
            </w:pPr>
            <w:r w:rsidRPr="003B4D68">
              <w:rPr>
                <w:rFonts w:ascii="Arial" w:hAnsi="Arial" w:cs="Arial"/>
                <w:b/>
                <w:sz w:val="22"/>
                <w:szCs w:val="22"/>
                <w:lang w:val="pt-BR"/>
              </w:rPr>
              <w:t xml:space="preserve">DEPARTAMENTO: </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lang w:val="pt-BR"/>
              </w:rPr>
              <w:t>Inglés</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rPr>
                <w:rFonts w:ascii="Arial" w:hAnsi="Arial" w:cs="Arial"/>
                <w:b/>
                <w:lang w:val="pt-BR"/>
              </w:rPr>
            </w:pPr>
            <w:r w:rsidRPr="003B4D68">
              <w:rPr>
                <w:rFonts w:ascii="Arial" w:hAnsi="Arial" w:cs="Arial"/>
                <w:b/>
                <w:sz w:val="22"/>
                <w:szCs w:val="22"/>
                <w:lang w:val="pt-BR"/>
              </w:rPr>
              <w:t xml:space="preserve">CARRERA: </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Traductorado en inglés</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rPr>
                <w:rFonts w:ascii="Arial" w:hAnsi="Arial" w:cs="Arial"/>
                <w:b/>
                <w:lang w:val="pt-BR"/>
              </w:rPr>
            </w:pPr>
            <w:r w:rsidRPr="003B4D68">
              <w:rPr>
                <w:rFonts w:ascii="Arial" w:hAnsi="Arial" w:cs="Arial"/>
                <w:b/>
                <w:sz w:val="22"/>
                <w:szCs w:val="22"/>
                <w:lang w:val="pt-BR"/>
              </w:rPr>
              <w:t>TRAYECTO</w:t>
            </w:r>
            <w:r>
              <w:rPr>
                <w:rFonts w:ascii="Arial" w:hAnsi="Arial" w:cs="Arial"/>
                <w:b/>
                <w:sz w:val="22"/>
                <w:szCs w:val="22"/>
                <w:lang w:val="pt-BR"/>
              </w:rPr>
              <w:t>/CAMPO</w:t>
            </w:r>
            <w:r w:rsidRPr="003B4D68">
              <w:rPr>
                <w:rFonts w:ascii="Arial" w:hAnsi="Arial" w:cs="Arial"/>
                <w:b/>
                <w:sz w:val="22"/>
                <w:szCs w:val="22"/>
                <w:lang w:val="pt-BR"/>
              </w:rPr>
              <w:t xml:space="preserve">: </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Sociocultural</w:t>
            </w:r>
          </w:p>
        </w:tc>
      </w:tr>
      <w:tr w:rsidR="00B01CF4" w:rsidTr="00EF075B">
        <w:tblPrEx>
          <w:tblLook w:val="00A0"/>
        </w:tblPrEx>
        <w:trPr>
          <w:gridAfter w:val="1"/>
          <w:wAfter w:w="490" w:type="dxa"/>
        </w:trPr>
        <w:tc>
          <w:tcPr>
            <w:tcW w:w="3111" w:type="dxa"/>
          </w:tcPr>
          <w:p w:rsidR="00B01CF4" w:rsidRPr="00844888" w:rsidRDefault="00B01CF4" w:rsidP="00A2503A">
            <w:pPr>
              <w:spacing w:before="120" w:after="120"/>
              <w:jc w:val="both"/>
              <w:rPr>
                <w:rFonts w:ascii="Arial" w:hAnsi="Arial" w:cs="Arial"/>
                <w:b/>
                <w:spacing w:val="-3"/>
              </w:rPr>
            </w:pPr>
            <w:r w:rsidRPr="00844888">
              <w:rPr>
                <w:rFonts w:ascii="Arial" w:hAnsi="Arial" w:cs="Arial"/>
                <w:b/>
                <w:spacing w:val="-3"/>
                <w:sz w:val="22"/>
                <w:szCs w:val="22"/>
              </w:rPr>
              <w:t>INSTANCIA CURRICULAR:</w:t>
            </w:r>
          </w:p>
        </w:tc>
        <w:tc>
          <w:tcPr>
            <w:tcW w:w="5943" w:type="dxa"/>
            <w:gridSpan w:val="2"/>
          </w:tcPr>
          <w:p w:rsidR="00B01CF4" w:rsidRPr="00EC3B3F" w:rsidRDefault="00B01CF4" w:rsidP="00A2503A">
            <w:pPr>
              <w:spacing w:before="120" w:after="120"/>
              <w:rPr>
                <w:rFonts w:ascii="Arial" w:hAnsi="Arial" w:cs="Arial"/>
              </w:rPr>
            </w:pPr>
            <w:r w:rsidRPr="00EC3B3F">
              <w:rPr>
                <w:sz w:val="22"/>
                <w:szCs w:val="22"/>
              </w:rPr>
              <w:t>Historia</w:t>
            </w:r>
            <w:r>
              <w:rPr>
                <w:sz w:val="22"/>
                <w:szCs w:val="22"/>
              </w:rPr>
              <w:t xml:space="preserve"> Social </w:t>
            </w:r>
            <w:r w:rsidRPr="00EC3B3F">
              <w:rPr>
                <w:sz w:val="22"/>
                <w:szCs w:val="22"/>
              </w:rPr>
              <w:t xml:space="preserve">del </w:t>
            </w:r>
            <w:r>
              <w:rPr>
                <w:sz w:val="22"/>
                <w:szCs w:val="22"/>
              </w:rPr>
              <w:t>Mundo Contemporáneo</w:t>
            </w:r>
          </w:p>
        </w:tc>
      </w:tr>
      <w:tr w:rsidR="00B01CF4" w:rsidTr="00EF075B">
        <w:tblPrEx>
          <w:tblLook w:val="00A0"/>
        </w:tblPrEx>
        <w:trPr>
          <w:gridAfter w:val="1"/>
          <w:wAfter w:w="490" w:type="dxa"/>
        </w:trPr>
        <w:tc>
          <w:tcPr>
            <w:tcW w:w="3111" w:type="dxa"/>
          </w:tcPr>
          <w:p w:rsidR="00B01CF4" w:rsidRPr="00844888" w:rsidRDefault="00B01CF4" w:rsidP="00A2503A">
            <w:pPr>
              <w:spacing w:before="120" w:after="120"/>
              <w:jc w:val="both"/>
              <w:rPr>
                <w:rFonts w:ascii="Arial" w:hAnsi="Arial" w:cs="Arial"/>
                <w:b/>
                <w:spacing w:val="-3"/>
              </w:rPr>
            </w:pPr>
            <w:r w:rsidRPr="00844888">
              <w:rPr>
                <w:rFonts w:ascii="Arial" w:hAnsi="Arial" w:cs="Arial"/>
                <w:b/>
                <w:spacing w:val="-3"/>
                <w:sz w:val="22"/>
                <w:szCs w:val="22"/>
              </w:rPr>
              <w:t xml:space="preserve">CARGA HORARIA: </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pacing w:val="-3"/>
                <w:sz w:val="22"/>
                <w:szCs w:val="22"/>
              </w:rPr>
              <w:t>3</w:t>
            </w:r>
            <w:r w:rsidRPr="00844888">
              <w:rPr>
                <w:rFonts w:ascii="Arial" w:hAnsi="Arial" w:cs="Arial"/>
                <w:spacing w:val="-3"/>
                <w:sz w:val="22"/>
                <w:szCs w:val="22"/>
              </w:rPr>
              <w:t xml:space="preserve"> horas cátedra semanales</w:t>
            </w:r>
          </w:p>
        </w:tc>
      </w:tr>
      <w:tr w:rsidR="00B01CF4" w:rsidTr="00EF075B">
        <w:tblPrEx>
          <w:tblLook w:val="00A0"/>
        </w:tblPrEx>
        <w:trPr>
          <w:gridAfter w:val="1"/>
          <w:wAfter w:w="490" w:type="dxa"/>
        </w:trPr>
        <w:tc>
          <w:tcPr>
            <w:tcW w:w="3111" w:type="dxa"/>
          </w:tcPr>
          <w:p w:rsidR="00B01CF4" w:rsidRPr="00844888" w:rsidRDefault="00B01CF4" w:rsidP="00A2503A">
            <w:pPr>
              <w:spacing w:before="120" w:after="120"/>
              <w:jc w:val="both"/>
              <w:rPr>
                <w:rFonts w:ascii="Arial" w:hAnsi="Arial" w:cs="Arial"/>
                <w:b/>
                <w:spacing w:val="-3"/>
              </w:rPr>
            </w:pPr>
            <w:r w:rsidRPr="00844888">
              <w:rPr>
                <w:rFonts w:ascii="Arial" w:hAnsi="Arial" w:cs="Arial"/>
                <w:b/>
                <w:spacing w:val="-3"/>
                <w:sz w:val="22"/>
                <w:szCs w:val="22"/>
              </w:rPr>
              <w:t>CURSADA:</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pacing w:val="-3"/>
                <w:sz w:val="22"/>
                <w:szCs w:val="22"/>
              </w:rPr>
              <w:t>C</w:t>
            </w:r>
            <w:r w:rsidRPr="00844888">
              <w:rPr>
                <w:rFonts w:ascii="Arial" w:hAnsi="Arial" w:cs="Arial"/>
                <w:spacing w:val="-3"/>
                <w:sz w:val="22"/>
                <w:szCs w:val="22"/>
              </w:rPr>
              <w:t xml:space="preserve">uatrimestral </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jc w:val="both"/>
              <w:rPr>
                <w:rFonts w:ascii="Arial" w:hAnsi="Arial" w:cs="Arial"/>
                <w:b/>
                <w:spacing w:val="-3"/>
                <w:lang w:val="pt-BR"/>
              </w:rPr>
            </w:pPr>
            <w:r w:rsidRPr="003B4D68">
              <w:rPr>
                <w:rFonts w:ascii="Arial" w:hAnsi="Arial" w:cs="Arial"/>
                <w:b/>
                <w:spacing w:val="-3"/>
                <w:sz w:val="22"/>
                <w:szCs w:val="22"/>
                <w:lang w:val="pt-BR"/>
              </w:rPr>
              <w:t>TURNO:</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V</w:t>
            </w:r>
            <w:r w:rsidRPr="0050632E">
              <w:rPr>
                <w:rFonts w:ascii="Arial" w:hAnsi="Arial" w:cs="Arial"/>
                <w:sz w:val="22"/>
                <w:szCs w:val="22"/>
              </w:rPr>
              <w:t>espertino</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jc w:val="both"/>
              <w:rPr>
                <w:rFonts w:ascii="Arial" w:hAnsi="Arial" w:cs="Arial"/>
                <w:b/>
                <w:spacing w:val="-3"/>
                <w:lang w:val="pt-BR"/>
              </w:rPr>
            </w:pPr>
            <w:r>
              <w:rPr>
                <w:rFonts w:ascii="Arial" w:hAnsi="Arial" w:cs="Arial"/>
                <w:b/>
                <w:spacing w:val="-3"/>
                <w:sz w:val="22"/>
                <w:szCs w:val="22"/>
                <w:lang w:val="pt-BR"/>
              </w:rPr>
              <w:t>PROFESOR:</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Alejandro Castiglione</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jc w:val="both"/>
              <w:rPr>
                <w:rFonts w:ascii="Arial" w:hAnsi="Arial" w:cs="Arial"/>
                <w:b/>
                <w:spacing w:val="-3"/>
              </w:rPr>
            </w:pPr>
            <w:r w:rsidRPr="003B4D68">
              <w:rPr>
                <w:rFonts w:ascii="Arial" w:hAnsi="Arial" w:cs="Arial"/>
                <w:b/>
                <w:spacing w:val="-3"/>
                <w:sz w:val="22"/>
                <w:szCs w:val="22"/>
              </w:rPr>
              <w:t>AÑO LECTIVO:</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2018</w:t>
            </w:r>
          </w:p>
        </w:tc>
      </w:tr>
      <w:tr w:rsidR="00B01CF4" w:rsidTr="00EF075B">
        <w:tblPrEx>
          <w:tblLook w:val="00A0"/>
        </w:tblPrEx>
        <w:trPr>
          <w:gridAfter w:val="1"/>
          <w:wAfter w:w="490" w:type="dxa"/>
        </w:trPr>
        <w:tc>
          <w:tcPr>
            <w:tcW w:w="3111" w:type="dxa"/>
          </w:tcPr>
          <w:p w:rsidR="00B01CF4" w:rsidRPr="003B4D68" w:rsidRDefault="00B01CF4" w:rsidP="00A2503A">
            <w:pPr>
              <w:spacing w:before="120" w:after="120"/>
              <w:jc w:val="both"/>
              <w:rPr>
                <w:rFonts w:ascii="Arial" w:hAnsi="Arial" w:cs="Arial"/>
                <w:b/>
                <w:spacing w:val="-3"/>
              </w:rPr>
            </w:pPr>
            <w:r w:rsidRPr="003B4D68">
              <w:rPr>
                <w:rFonts w:ascii="Arial" w:hAnsi="Arial" w:cs="Arial"/>
                <w:b/>
                <w:spacing w:val="-3"/>
                <w:sz w:val="22"/>
                <w:szCs w:val="22"/>
              </w:rPr>
              <w:t>PLAN DE ESTUDIOS:</w:t>
            </w:r>
          </w:p>
        </w:tc>
        <w:tc>
          <w:tcPr>
            <w:tcW w:w="5943" w:type="dxa"/>
            <w:gridSpan w:val="2"/>
          </w:tcPr>
          <w:p w:rsidR="00B01CF4" w:rsidRPr="0050632E" w:rsidRDefault="00B01CF4" w:rsidP="00A2503A">
            <w:pPr>
              <w:spacing w:before="120" w:after="120"/>
              <w:rPr>
                <w:rFonts w:ascii="Arial" w:hAnsi="Arial" w:cs="Arial"/>
              </w:rPr>
            </w:pPr>
            <w:r>
              <w:rPr>
                <w:rFonts w:ascii="Arial" w:hAnsi="Arial" w:cs="Arial"/>
                <w:sz w:val="22"/>
                <w:szCs w:val="22"/>
              </w:rPr>
              <w:t xml:space="preserve">Según Resolución 3730/ 2012 </w:t>
            </w:r>
          </w:p>
        </w:tc>
      </w:tr>
      <w:tr w:rsidR="00B01CF4" w:rsidTr="00EF075B">
        <w:tblPrEx>
          <w:tblLook w:val="00A0"/>
        </w:tblPrEx>
        <w:trPr>
          <w:gridAfter w:val="1"/>
          <w:wAfter w:w="490" w:type="dxa"/>
        </w:trPr>
        <w:tc>
          <w:tcPr>
            <w:tcW w:w="3111" w:type="dxa"/>
          </w:tcPr>
          <w:p w:rsidR="00B01CF4" w:rsidRPr="00844AB6" w:rsidRDefault="00B01CF4" w:rsidP="00A2503A">
            <w:pPr>
              <w:rPr>
                <w:rFonts w:ascii="Arial" w:hAnsi="Arial" w:cs="Arial"/>
                <w:b/>
                <w:sz w:val="28"/>
                <w:szCs w:val="28"/>
              </w:rPr>
            </w:pPr>
            <w:r w:rsidRPr="00844AB6">
              <w:rPr>
                <w:rFonts w:ascii="Arial" w:hAnsi="Arial" w:cs="Arial"/>
                <w:b/>
                <w:sz w:val="28"/>
                <w:szCs w:val="28"/>
              </w:rPr>
              <w:t>Correlativas</w:t>
            </w:r>
          </w:p>
          <w:p w:rsidR="00B01CF4" w:rsidRPr="003B4D68" w:rsidRDefault="00B01CF4" w:rsidP="00A2503A">
            <w:pPr>
              <w:spacing w:before="120" w:after="120"/>
              <w:jc w:val="both"/>
              <w:rPr>
                <w:rFonts w:ascii="Arial" w:hAnsi="Arial" w:cs="Arial"/>
                <w:b/>
                <w:spacing w:val="-3"/>
              </w:rPr>
            </w:pPr>
          </w:p>
        </w:tc>
        <w:tc>
          <w:tcPr>
            <w:tcW w:w="5943" w:type="dxa"/>
            <w:gridSpan w:val="2"/>
          </w:tcPr>
          <w:p w:rsidR="00B01CF4" w:rsidRDefault="00B01CF4" w:rsidP="00A2503A">
            <w:r>
              <w:t xml:space="preserve">Historia y Cultura Contemporánea de los Estados Unidos Historia y Cultura Contemporánea del Reino Unido- Panorama de la Literatura de los Pueblos de Habla Inglesa- </w:t>
            </w:r>
          </w:p>
          <w:p w:rsidR="00B01CF4" w:rsidRPr="002054CB" w:rsidRDefault="00B01CF4" w:rsidP="00A2503A">
            <w:r>
              <w:t>Lengua Inglesa V</w:t>
            </w:r>
          </w:p>
        </w:tc>
      </w:tr>
    </w:tbl>
    <w:p w:rsidR="00B01CF4" w:rsidRDefault="00B01CF4" w:rsidP="00EF075B">
      <w:r>
        <w:tab/>
      </w:r>
      <w:r>
        <w:tab/>
      </w:r>
      <w:r>
        <w:tab/>
      </w:r>
      <w:r>
        <w:tab/>
      </w:r>
      <w:r>
        <w:tab/>
      </w:r>
    </w:p>
    <w:p w:rsidR="00B01CF4" w:rsidRPr="000B408E" w:rsidRDefault="00B01CF4" w:rsidP="00EF075B">
      <w:r>
        <w:tab/>
      </w:r>
      <w:r>
        <w:tab/>
      </w:r>
      <w:r>
        <w:tab/>
      </w:r>
      <w:r>
        <w:tab/>
      </w:r>
      <w:r>
        <w:tab/>
        <w:t>Programa</w:t>
      </w:r>
    </w:p>
    <w:p w:rsidR="00B01CF4" w:rsidRPr="00EF075B" w:rsidRDefault="00B01CF4" w:rsidP="00EF075B">
      <w:pPr>
        <w:rPr>
          <w:b/>
          <w:sz w:val="22"/>
          <w:szCs w:val="22"/>
        </w:rPr>
      </w:pPr>
      <w:r w:rsidRPr="00EF075B">
        <w:rPr>
          <w:b/>
          <w:sz w:val="22"/>
          <w:szCs w:val="22"/>
        </w:rPr>
        <w:t>1.</w:t>
      </w:r>
      <w:r>
        <w:rPr>
          <w:b/>
          <w:sz w:val="22"/>
          <w:szCs w:val="22"/>
        </w:rPr>
        <w:t>Fundamentación</w:t>
      </w:r>
    </w:p>
    <w:p w:rsidR="00B01CF4" w:rsidRDefault="00B01CF4" w:rsidP="00EF075B">
      <w:r>
        <w:t>Historia Social del Mundo Contemporáneo se presenta como un espacio indispensable para incorporar saberes que le permitan al futuro profesional situarse en un mundo interdependiente y globalizado, con conocimiento de la historia reciente y de los procesos sociales, políticos y culturales que confluyeron para producir el entramado en el cual habrá de llevar adelante su labor de mediación.</w:t>
      </w:r>
    </w:p>
    <w:p w:rsidR="00B01CF4" w:rsidRPr="00FA3CF6" w:rsidRDefault="00B01CF4" w:rsidP="00EF075B">
      <w:pPr>
        <w:rPr>
          <w:sz w:val="22"/>
          <w:szCs w:val="22"/>
        </w:rPr>
      </w:pPr>
      <w:r w:rsidRPr="00FA3CF6">
        <w:rPr>
          <w:sz w:val="22"/>
          <w:szCs w:val="22"/>
        </w:rPr>
        <w:t>La asignatura se fundamenta en la necesidad de brindar a los futuros traductores una instancia curricular donde poder incorporar, reflexionar sobre e  integrar saberes sobre la hi</w:t>
      </w:r>
      <w:r>
        <w:rPr>
          <w:sz w:val="22"/>
          <w:szCs w:val="22"/>
        </w:rPr>
        <w:t>storia y cultura del mundo</w:t>
      </w:r>
      <w:r w:rsidRPr="00FA3CF6">
        <w:rPr>
          <w:sz w:val="22"/>
          <w:szCs w:val="22"/>
        </w:rPr>
        <w:t xml:space="preserve"> durante la etapa</w:t>
      </w:r>
      <w:r>
        <w:rPr>
          <w:sz w:val="22"/>
          <w:szCs w:val="22"/>
        </w:rPr>
        <w:t xml:space="preserve"> moderna y </w:t>
      </w:r>
      <w:r w:rsidRPr="00FA3CF6">
        <w:rPr>
          <w:sz w:val="22"/>
          <w:szCs w:val="22"/>
        </w:rPr>
        <w:t xml:space="preserve">contemporánea.  </w:t>
      </w:r>
    </w:p>
    <w:p w:rsidR="00B01CF4" w:rsidRDefault="00B01CF4" w:rsidP="00EF075B">
      <w:pPr>
        <w:rPr>
          <w:sz w:val="22"/>
          <w:szCs w:val="22"/>
        </w:rPr>
      </w:pPr>
    </w:p>
    <w:p w:rsidR="00B01CF4" w:rsidRPr="00EF075B" w:rsidRDefault="00B01CF4" w:rsidP="00EF075B">
      <w:pPr>
        <w:rPr>
          <w:b/>
          <w:sz w:val="22"/>
          <w:szCs w:val="22"/>
        </w:rPr>
      </w:pPr>
      <w:r w:rsidRPr="00EF075B">
        <w:rPr>
          <w:b/>
          <w:sz w:val="22"/>
          <w:szCs w:val="22"/>
        </w:rPr>
        <w:t xml:space="preserve">2. </w:t>
      </w:r>
      <w:r>
        <w:rPr>
          <w:b/>
          <w:sz w:val="22"/>
          <w:szCs w:val="22"/>
        </w:rPr>
        <w:t>Objetivos generales</w:t>
      </w:r>
    </w:p>
    <w:p w:rsidR="00B01CF4" w:rsidRPr="00FA3CF6" w:rsidRDefault="00B01CF4" w:rsidP="00EF075B">
      <w:pPr>
        <w:rPr>
          <w:sz w:val="22"/>
          <w:szCs w:val="22"/>
        </w:rPr>
      </w:pPr>
      <w:r w:rsidRPr="00FA3CF6">
        <w:rPr>
          <w:sz w:val="22"/>
          <w:szCs w:val="22"/>
        </w:rPr>
        <w:t xml:space="preserve">. Analizar los principales procesos políticos, económicos, sociales y </w:t>
      </w:r>
      <w:r>
        <w:rPr>
          <w:sz w:val="22"/>
          <w:szCs w:val="22"/>
        </w:rPr>
        <w:t>culturales en los</w:t>
      </w:r>
      <w:r w:rsidRPr="00FA3CF6">
        <w:rPr>
          <w:sz w:val="22"/>
          <w:szCs w:val="22"/>
        </w:rPr>
        <w:t xml:space="preserve"> siglo</w:t>
      </w:r>
      <w:r>
        <w:rPr>
          <w:sz w:val="22"/>
          <w:szCs w:val="22"/>
        </w:rPr>
        <w:t xml:space="preserve">s XVIII a </w:t>
      </w:r>
      <w:r w:rsidRPr="00FA3CF6">
        <w:rPr>
          <w:sz w:val="22"/>
          <w:szCs w:val="22"/>
        </w:rPr>
        <w:t>XX.</w:t>
      </w:r>
    </w:p>
    <w:p w:rsidR="00B01CF4" w:rsidRPr="00FA3CF6" w:rsidRDefault="00B01CF4" w:rsidP="00EF075B">
      <w:pPr>
        <w:rPr>
          <w:sz w:val="22"/>
          <w:szCs w:val="22"/>
        </w:rPr>
      </w:pPr>
      <w:r w:rsidRPr="00FA3CF6">
        <w:rPr>
          <w:sz w:val="22"/>
          <w:szCs w:val="22"/>
        </w:rPr>
        <w:t>. Comprender la causalidad, las rupturas y las continuidades de los procesos  ocurridos durante el período estudiado.</w:t>
      </w:r>
    </w:p>
    <w:p w:rsidR="00B01CF4" w:rsidRPr="00FA3CF6" w:rsidRDefault="00B01CF4" w:rsidP="00EF075B">
      <w:pPr>
        <w:rPr>
          <w:sz w:val="22"/>
          <w:szCs w:val="22"/>
        </w:rPr>
      </w:pPr>
      <w:r w:rsidRPr="00FA3CF6">
        <w:rPr>
          <w:sz w:val="22"/>
          <w:szCs w:val="22"/>
        </w:rPr>
        <w:t>. Desarrollar un manejo eficiente de las herramientas de investigación: búsqueda de fuentes primarias, bibliografía especializada, material iconográfico, filmografía, Internet.</w:t>
      </w:r>
    </w:p>
    <w:p w:rsidR="00B01CF4" w:rsidRPr="00FA3CF6" w:rsidRDefault="00B01CF4" w:rsidP="00EF075B">
      <w:pPr>
        <w:rPr>
          <w:sz w:val="22"/>
          <w:szCs w:val="22"/>
        </w:rPr>
      </w:pPr>
      <w:r w:rsidRPr="00FA3CF6">
        <w:rPr>
          <w:sz w:val="22"/>
          <w:szCs w:val="22"/>
        </w:rPr>
        <w:t>. Adquirir perspectivas historiográficas para interpretar los hechos y procesos estudiados.</w:t>
      </w:r>
    </w:p>
    <w:p w:rsidR="00B01CF4" w:rsidRPr="00FA3CF6" w:rsidRDefault="00B01CF4" w:rsidP="00EF075B">
      <w:pPr>
        <w:rPr>
          <w:sz w:val="22"/>
          <w:szCs w:val="22"/>
        </w:rPr>
      </w:pPr>
    </w:p>
    <w:p w:rsidR="00B01CF4" w:rsidRPr="00EF075B" w:rsidRDefault="00B01CF4" w:rsidP="00EF075B">
      <w:pPr>
        <w:rPr>
          <w:b/>
          <w:sz w:val="22"/>
          <w:szCs w:val="22"/>
        </w:rPr>
      </w:pPr>
      <w:r w:rsidRPr="00EF075B">
        <w:rPr>
          <w:b/>
          <w:sz w:val="22"/>
          <w:szCs w:val="22"/>
        </w:rPr>
        <w:t>3. Objetivos específicos</w:t>
      </w:r>
    </w:p>
    <w:p w:rsidR="00B01CF4" w:rsidRPr="00FA3CF6" w:rsidRDefault="00B01CF4" w:rsidP="00EF075B">
      <w:pPr>
        <w:numPr>
          <w:ilvl w:val="0"/>
          <w:numId w:val="3"/>
        </w:numPr>
        <w:rPr>
          <w:sz w:val="22"/>
          <w:szCs w:val="22"/>
        </w:rPr>
      </w:pPr>
      <w:r w:rsidRPr="00FA3CF6">
        <w:rPr>
          <w:sz w:val="22"/>
          <w:szCs w:val="22"/>
        </w:rPr>
        <w:t>Concientizar al alumno sobre los diferentes hechos de la ev</w:t>
      </w:r>
      <w:r>
        <w:rPr>
          <w:sz w:val="22"/>
          <w:szCs w:val="22"/>
        </w:rPr>
        <w:t xml:space="preserve">olución histórica </w:t>
      </w:r>
      <w:r w:rsidRPr="00FA3CF6">
        <w:rPr>
          <w:sz w:val="22"/>
          <w:szCs w:val="22"/>
        </w:rPr>
        <w:t>desde la modernidad hasta el presente en aspectos sociales, políticos, económicos, ideológicos  y culturales.</w:t>
      </w:r>
    </w:p>
    <w:p w:rsidR="00B01CF4" w:rsidRDefault="00B01CF4" w:rsidP="00EF075B">
      <w:r>
        <w:rPr>
          <w:sz w:val="22"/>
          <w:szCs w:val="22"/>
        </w:rPr>
        <w:t xml:space="preserve">2) </w:t>
      </w:r>
      <w:r>
        <w:t>Contribuir a la comprensión de los procesos complejos que intervienen en la configuración del mundo actual</w:t>
      </w:r>
    </w:p>
    <w:p w:rsidR="00B01CF4" w:rsidRDefault="00B01CF4" w:rsidP="00EF075B">
      <w:r>
        <w:t>3) Abordar temáticas relacionadas con los principales acontecimientos del siglo desde una perspectiva interdisciplinaria</w:t>
      </w:r>
    </w:p>
    <w:p w:rsidR="00B01CF4" w:rsidRPr="00F1498B" w:rsidRDefault="00B01CF4" w:rsidP="00EF075B">
      <w:r>
        <w:t>4) Desarrollar la habilidad de debatir distintos puntos de vista por medio del análisis comparativo de diversos planteos historiográficos y</w:t>
      </w:r>
      <w:r w:rsidRPr="00FA3CF6">
        <w:rPr>
          <w:sz w:val="22"/>
          <w:szCs w:val="22"/>
        </w:rPr>
        <w:t xml:space="preserve"> una apropiación del discurso específico de las ciencias sociales y establecer relaciones con diferentes asignaturas del plan de estudios en miras a consolidar su manejo del idioma.</w:t>
      </w:r>
    </w:p>
    <w:p w:rsidR="00B01CF4" w:rsidRDefault="00B01CF4" w:rsidP="00EF075B">
      <w:pPr>
        <w:rPr>
          <w:sz w:val="22"/>
          <w:szCs w:val="22"/>
        </w:rPr>
      </w:pPr>
    </w:p>
    <w:p w:rsidR="00B01CF4" w:rsidRPr="00EF075B" w:rsidRDefault="00B01CF4" w:rsidP="00EF075B">
      <w:pPr>
        <w:rPr>
          <w:b/>
          <w:sz w:val="22"/>
          <w:szCs w:val="22"/>
        </w:rPr>
      </w:pPr>
      <w:r w:rsidRPr="00EF075B">
        <w:rPr>
          <w:b/>
          <w:sz w:val="22"/>
          <w:szCs w:val="22"/>
        </w:rPr>
        <w:t>4. Contenidos mínimos</w:t>
      </w:r>
    </w:p>
    <w:p w:rsidR="00B01CF4" w:rsidRPr="00FA3CF6" w:rsidRDefault="00B01CF4" w:rsidP="00EF075B">
      <w:pPr>
        <w:rPr>
          <w:sz w:val="22"/>
          <w:szCs w:val="22"/>
        </w:rPr>
      </w:pPr>
    </w:p>
    <w:p w:rsidR="00B01CF4" w:rsidRDefault="00B01CF4" w:rsidP="00EF075B">
      <w:pPr>
        <w:rPr>
          <w:sz w:val="22"/>
          <w:szCs w:val="22"/>
        </w:rPr>
      </w:pPr>
      <w:r w:rsidRPr="00FA3CF6">
        <w:rPr>
          <w:sz w:val="22"/>
          <w:szCs w:val="22"/>
        </w:rPr>
        <w:t>Unidad 1</w:t>
      </w:r>
    </w:p>
    <w:p w:rsidR="00B01CF4" w:rsidRDefault="00B01CF4" w:rsidP="00EF075B">
      <w:r>
        <w:t xml:space="preserve">Las grandes transformaciones socio-culturales de la primera mitad del siglo XX. Vanguardias y ruptura en la cultura occidental. Reduccionismo en las ciencias. La incertidumbre en el pensamiento moderno. </w:t>
      </w:r>
    </w:p>
    <w:p w:rsidR="00B01CF4" w:rsidRDefault="00B01CF4" w:rsidP="00EF075B"/>
    <w:p w:rsidR="00B01CF4" w:rsidRDefault="00B01CF4" w:rsidP="00EF075B">
      <w:r>
        <w:t>Unidad 2</w:t>
      </w:r>
    </w:p>
    <w:p w:rsidR="00B01CF4" w:rsidRDefault="00B01CF4" w:rsidP="00EF075B">
      <w:r>
        <w:t>Orígenes y desarrollo de los estados totalitarios. Guerra Fría y el mundo bipolar. Surgimiento de la Organización de las Naciones Unidas y la diplomacia pública internacional. Descolonización en África y Asia. América Latina. Populismos, golpes de estado y restauración de la democracia.</w:t>
      </w:r>
    </w:p>
    <w:p w:rsidR="00B01CF4" w:rsidRDefault="00B01CF4" w:rsidP="00EF075B"/>
    <w:p w:rsidR="00B01CF4" w:rsidRDefault="00B01CF4" w:rsidP="00EF075B">
      <w:r>
        <w:t>Unidad 3</w:t>
      </w:r>
    </w:p>
    <w:p w:rsidR="00B01CF4" w:rsidRDefault="00B01CF4" w:rsidP="00EF075B">
      <w:r>
        <w:t>La nueva era de los medios masivos de comunicación. La sociedad de la información.</w:t>
      </w:r>
    </w:p>
    <w:p w:rsidR="00B01CF4" w:rsidRDefault="00B01CF4" w:rsidP="00EF075B">
      <w:pPr>
        <w:rPr>
          <w:sz w:val="22"/>
          <w:szCs w:val="22"/>
        </w:rPr>
      </w:pPr>
      <w:r>
        <w:t xml:space="preserve">Globalización: sus efectos sociales, políticos y económicos. </w:t>
      </w:r>
      <w:r>
        <w:rPr>
          <w:sz w:val="22"/>
          <w:szCs w:val="22"/>
        </w:rPr>
        <w:t xml:space="preserve">Conflictividad del siglo XXI. Aspectos económicos y sociales en la actualidad. Conflictividad social y multiculturalismo. </w:t>
      </w:r>
    </w:p>
    <w:p w:rsidR="00B01CF4" w:rsidRPr="00FA3CF6" w:rsidRDefault="00B01CF4" w:rsidP="00EF075B">
      <w:pPr>
        <w:rPr>
          <w:sz w:val="22"/>
          <w:szCs w:val="22"/>
        </w:rPr>
      </w:pPr>
    </w:p>
    <w:p w:rsidR="00B01CF4" w:rsidRPr="00EF075B" w:rsidRDefault="00B01CF4" w:rsidP="00EF075B">
      <w:pPr>
        <w:rPr>
          <w:b/>
          <w:sz w:val="22"/>
          <w:szCs w:val="22"/>
        </w:rPr>
      </w:pPr>
      <w:r w:rsidRPr="00EF075B">
        <w:rPr>
          <w:b/>
          <w:sz w:val="22"/>
          <w:szCs w:val="22"/>
        </w:rPr>
        <w:t>5. Contenidos de la instancia curricular: organización</w:t>
      </w:r>
    </w:p>
    <w:p w:rsidR="00B01CF4" w:rsidRPr="00FA3CF6" w:rsidRDefault="00B01CF4" w:rsidP="00EF075B">
      <w:pPr>
        <w:rPr>
          <w:sz w:val="22"/>
          <w:szCs w:val="22"/>
        </w:rPr>
      </w:pPr>
    </w:p>
    <w:p w:rsidR="00B01CF4" w:rsidRDefault="00B01CF4" w:rsidP="00EF075B">
      <w:pPr>
        <w:rPr>
          <w:sz w:val="22"/>
          <w:szCs w:val="22"/>
        </w:rPr>
      </w:pPr>
      <w:r w:rsidRPr="00FA3CF6">
        <w:rPr>
          <w:sz w:val="22"/>
          <w:szCs w:val="22"/>
        </w:rPr>
        <w:t xml:space="preserve">Gran Bretaña y su imperio en las edades moderna y contemporánea. Construcción del estado. Constitucionalismo. Ideologías. Revoluciones. Partidos políticos. Contexto europeo y mundial. Apogeo y decadencia. Corrientes migratorias. Integración y resistencia. </w:t>
      </w:r>
    </w:p>
    <w:p w:rsidR="00B01CF4" w:rsidRDefault="00B01CF4" w:rsidP="00EF075B">
      <w:pPr>
        <w:rPr>
          <w:sz w:val="22"/>
          <w:szCs w:val="22"/>
        </w:rPr>
      </w:pPr>
    </w:p>
    <w:p w:rsidR="00B01CF4" w:rsidRPr="00EF075B" w:rsidRDefault="00B01CF4" w:rsidP="00EF075B">
      <w:pPr>
        <w:rPr>
          <w:b/>
          <w:sz w:val="22"/>
          <w:szCs w:val="22"/>
        </w:rPr>
      </w:pPr>
      <w:r w:rsidRPr="00EF075B">
        <w:rPr>
          <w:b/>
          <w:sz w:val="22"/>
          <w:szCs w:val="22"/>
        </w:rPr>
        <w:t>6. Modo de abordaje de contenidos y actividades</w:t>
      </w:r>
    </w:p>
    <w:p w:rsidR="00B01CF4" w:rsidRPr="00FA3CF6" w:rsidRDefault="00B01CF4" w:rsidP="00EF075B">
      <w:pPr>
        <w:rPr>
          <w:sz w:val="22"/>
          <w:szCs w:val="22"/>
        </w:rPr>
      </w:pPr>
    </w:p>
    <w:p w:rsidR="00B01CF4" w:rsidRPr="00FA3CF6" w:rsidRDefault="00B01CF4" w:rsidP="00EF075B">
      <w:pPr>
        <w:numPr>
          <w:ilvl w:val="0"/>
          <w:numId w:val="4"/>
        </w:numPr>
        <w:rPr>
          <w:sz w:val="22"/>
          <w:szCs w:val="22"/>
        </w:rPr>
      </w:pPr>
      <w:r w:rsidRPr="00FA3CF6">
        <w:rPr>
          <w:sz w:val="22"/>
          <w:szCs w:val="22"/>
        </w:rPr>
        <w:t>Lecturas correspondientes y participación en las discusiones y debates planteados.</w:t>
      </w:r>
    </w:p>
    <w:p w:rsidR="00B01CF4" w:rsidRPr="00FA3CF6" w:rsidRDefault="00B01CF4" w:rsidP="00EF075B">
      <w:pPr>
        <w:numPr>
          <w:ilvl w:val="0"/>
          <w:numId w:val="4"/>
        </w:numPr>
        <w:rPr>
          <w:sz w:val="22"/>
          <w:szCs w:val="22"/>
        </w:rPr>
      </w:pPr>
      <w:r w:rsidRPr="00FA3CF6">
        <w:rPr>
          <w:sz w:val="22"/>
          <w:szCs w:val="22"/>
        </w:rPr>
        <w:t>Exámenes parciales escritos</w:t>
      </w:r>
    </w:p>
    <w:p w:rsidR="00B01CF4" w:rsidRPr="00FA3CF6" w:rsidRDefault="00B01CF4" w:rsidP="00EF075B">
      <w:pPr>
        <w:numPr>
          <w:ilvl w:val="0"/>
          <w:numId w:val="4"/>
        </w:numPr>
        <w:rPr>
          <w:sz w:val="22"/>
          <w:szCs w:val="22"/>
        </w:rPr>
      </w:pPr>
      <w:r w:rsidRPr="00FA3CF6">
        <w:rPr>
          <w:sz w:val="22"/>
          <w:szCs w:val="22"/>
        </w:rPr>
        <w:t>Parcial integrador oral.</w:t>
      </w:r>
    </w:p>
    <w:p w:rsidR="00B01CF4" w:rsidRPr="00FA3CF6" w:rsidRDefault="00B01CF4" w:rsidP="00EF075B">
      <w:pPr>
        <w:ind w:left="360"/>
        <w:rPr>
          <w:sz w:val="22"/>
          <w:szCs w:val="22"/>
        </w:rPr>
      </w:pPr>
    </w:p>
    <w:p w:rsidR="00B01CF4" w:rsidRPr="00FA3CF6" w:rsidRDefault="00B01CF4" w:rsidP="00EF075B">
      <w:pPr>
        <w:ind w:left="360"/>
        <w:rPr>
          <w:sz w:val="22"/>
          <w:szCs w:val="22"/>
        </w:rPr>
      </w:pPr>
    </w:p>
    <w:p w:rsidR="00B01CF4" w:rsidRPr="00844AB6" w:rsidRDefault="00B01CF4" w:rsidP="00EF075B">
      <w:pPr>
        <w:rPr>
          <w:b/>
          <w:sz w:val="22"/>
          <w:szCs w:val="22"/>
          <w:lang w:val="es-AR"/>
        </w:rPr>
      </w:pPr>
      <w:r>
        <w:rPr>
          <w:b/>
          <w:sz w:val="22"/>
          <w:szCs w:val="22"/>
        </w:rPr>
        <w:t xml:space="preserve">7. </w:t>
      </w:r>
      <w:r w:rsidRPr="00FA3CF6">
        <w:rPr>
          <w:b/>
          <w:sz w:val="22"/>
          <w:szCs w:val="22"/>
        </w:rPr>
        <w:t xml:space="preserve">Bibliografía </w:t>
      </w:r>
      <w:r w:rsidRPr="00844AB6">
        <w:rPr>
          <w:b/>
          <w:sz w:val="22"/>
          <w:szCs w:val="22"/>
          <w:lang w:val="en-US"/>
        </w:rPr>
        <w:t>obligatoria:</w:t>
      </w:r>
    </w:p>
    <w:p w:rsidR="00B01CF4" w:rsidRPr="00FA3CF6" w:rsidRDefault="00B01CF4" w:rsidP="00EF075B">
      <w:pPr>
        <w:rPr>
          <w:sz w:val="22"/>
          <w:szCs w:val="22"/>
          <w:lang w:val="en-US"/>
        </w:rPr>
      </w:pPr>
      <w:r w:rsidRPr="00FA3CF6">
        <w:rPr>
          <w:sz w:val="22"/>
          <w:szCs w:val="22"/>
          <w:lang w:val="en-US"/>
        </w:rPr>
        <w:t>Selecciones de:</w:t>
      </w:r>
    </w:p>
    <w:p w:rsidR="00B01CF4" w:rsidRDefault="00B01CF4" w:rsidP="00EF075B">
      <w:pPr>
        <w:rPr>
          <w:sz w:val="22"/>
          <w:szCs w:val="22"/>
          <w:lang w:val="en-US"/>
        </w:rPr>
      </w:pPr>
      <w:r w:rsidRPr="00FA3CF6">
        <w:rPr>
          <w:sz w:val="22"/>
          <w:szCs w:val="22"/>
          <w:lang w:val="en-US"/>
        </w:rPr>
        <w:t xml:space="preserve">Hobsbawm, Eric and Ranger, Terence, </w:t>
      </w:r>
      <w:r w:rsidRPr="00FA3CF6">
        <w:rPr>
          <w:i/>
          <w:sz w:val="22"/>
          <w:szCs w:val="22"/>
          <w:lang w:val="en-US"/>
        </w:rPr>
        <w:t>The Invention of Tradition</w:t>
      </w:r>
      <w:r w:rsidRPr="00FA3CF6">
        <w:rPr>
          <w:sz w:val="22"/>
          <w:szCs w:val="22"/>
          <w:lang w:val="en-US"/>
        </w:rPr>
        <w:t xml:space="preserve">, 1997, </w:t>
      </w:r>
      <w:smartTag w:uri="urn:schemas-microsoft-com:office:smarttags" w:element="PlaceName">
        <w:smartTag w:uri="urn:schemas-microsoft-com:office:smarttags" w:element="place">
          <w:r w:rsidRPr="00FA3CF6">
            <w:rPr>
              <w:sz w:val="22"/>
              <w:szCs w:val="22"/>
              <w:lang w:val="en-US"/>
            </w:rPr>
            <w:t>Cambridge</w:t>
          </w:r>
        </w:smartTag>
        <w:r w:rsidRPr="00FA3CF6">
          <w:rPr>
            <w:sz w:val="22"/>
            <w:szCs w:val="22"/>
            <w:lang w:val="en-US"/>
          </w:rPr>
          <w:t xml:space="preserve"> </w:t>
        </w:r>
        <w:smartTag w:uri="urn:schemas-microsoft-com:office:smarttags" w:element="PlaceType">
          <w:r w:rsidRPr="00FA3CF6">
            <w:rPr>
              <w:sz w:val="22"/>
              <w:szCs w:val="22"/>
              <w:lang w:val="en-US"/>
            </w:rPr>
            <w:t>University</w:t>
          </w:r>
        </w:smartTag>
      </w:smartTag>
      <w:r w:rsidRPr="00FA3CF6">
        <w:rPr>
          <w:sz w:val="22"/>
          <w:szCs w:val="22"/>
          <w:lang w:val="en-US"/>
        </w:rPr>
        <w:t xml:space="preserve"> Press.</w:t>
      </w:r>
    </w:p>
    <w:p w:rsidR="00B01CF4" w:rsidRPr="00844AB6" w:rsidRDefault="00B01CF4" w:rsidP="00EF075B">
      <w:pPr>
        <w:rPr>
          <w:sz w:val="22"/>
          <w:szCs w:val="22"/>
          <w:lang w:val="en-US"/>
        </w:rPr>
      </w:pPr>
      <w:r w:rsidRPr="00FA3CF6">
        <w:rPr>
          <w:sz w:val="22"/>
          <w:szCs w:val="22"/>
          <w:lang w:val="en-US"/>
        </w:rPr>
        <w:t>Hobsbawm, Eric,</w:t>
      </w:r>
      <w:r>
        <w:rPr>
          <w:sz w:val="22"/>
          <w:szCs w:val="22"/>
          <w:lang w:val="en-US"/>
        </w:rPr>
        <w:t xml:space="preserve"> </w:t>
      </w:r>
      <w:r>
        <w:rPr>
          <w:i/>
          <w:sz w:val="22"/>
          <w:szCs w:val="22"/>
          <w:lang w:val="en-US"/>
        </w:rPr>
        <w:t xml:space="preserve">Fractured Times, Culture and Society in the Twentieth Century, </w:t>
      </w:r>
      <w:r>
        <w:rPr>
          <w:sz w:val="22"/>
          <w:szCs w:val="22"/>
          <w:lang w:val="en-US"/>
        </w:rPr>
        <w:t>2013, Abacus.</w:t>
      </w:r>
    </w:p>
    <w:p w:rsidR="00B01CF4" w:rsidRPr="00FA3CF6" w:rsidRDefault="00B01CF4" w:rsidP="00EF075B">
      <w:pPr>
        <w:rPr>
          <w:sz w:val="22"/>
          <w:szCs w:val="22"/>
          <w:lang w:val="en-US"/>
        </w:rPr>
      </w:pPr>
      <w:r w:rsidRPr="00FA3CF6">
        <w:rPr>
          <w:sz w:val="22"/>
          <w:szCs w:val="22"/>
          <w:lang w:val="en-US"/>
        </w:rPr>
        <w:t xml:space="preserve">Hobsbawm, Eric, </w:t>
      </w:r>
      <w:r w:rsidRPr="00FA3CF6">
        <w:rPr>
          <w:i/>
          <w:sz w:val="22"/>
          <w:szCs w:val="22"/>
          <w:lang w:val="en-US"/>
        </w:rPr>
        <w:t>The Age of Empire, 1875-1914</w:t>
      </w:r>
      <w:r w:rsidRPr="00FA3CF6">
        <w:rPr>
          <w:sz w:val="22"/>
          <w:szCs w:val="22"/>
          <w:lang w:val="en-US"/>
        </w:rPr>
        <w:t>, 1992, Abacus.</w:t>
      </w:r>
    </w:p>
    <w:p w:rsidR="00B01CF4" w:rsidRDefault="00B01CF4" w:rsidP="00EF075B">
      <w:pPr>
        <w:rPr>
          <w:sz w:val="22"/>
          <w:szCs w:val="22"/>
          <w:lang w:val="en-US"/>
        </w:rPr>
      </w:pPr>
      <w:r w:rsidRPr="00FA3CF6">
        <w:rPr>
          <w:sz w:val="22"/>
          <w:szCs w:val="22"/>
          <w:lang w:val="en-US"/>
        </w:rPr>
        <w:t xml:space="preserve">Hobsbawm, Eric, </w:t>
      </w:r>
      <w:r w:rsidRPr="00FA3CF6">
        <w:rPr>
          <w:i/>
          <w:sz w:val="22"/>
          <w:szCs w:val="22"/>
          <w:lang w:val="en-US"/>
        </w:rPr>
        <w:t>The Age of Extremes</w:t>
      </w:r>
      <w:r w:rsidRPr="00FA3CF6">
        <w:rPr>
          <w:sz w:val="22"/>
          <w:szCs w:val="22"/>
          <w:lang w:val="en-US"/>
        </w:rPr>
        <w:t>, 1995, Abacus.</w:t>
      </w:r>
    </w:p>
    <w:p w:rsidR="00B01CF4" w:rsidRPr="009E6E3E" w:rsidRDefault="00B01CF4" w:rsidP="00EF075B">
      <w:pPr>
        <w:rPr>
          <w:sz w:val="22"/>
          <w:szCs w:val="22"/>
          <w:lang w:val="en-US"/>
        </w:rPr>
      </w:pPr>
      <w:r>
        <w:rPr>
          <w:sz w:val="22"/>
          <w:szCs w:val="22"/>
          <w:lang w:val="en-US"/>
        </w:rPr>
        <w:t xml:space="preserve">Jones, Owen, </w:t>
      </w:r>
      <w:r>
        <w:rPr>
          <w:i/>
          <w:sz w:val="22"/>
          <w:szCs w:val="22"/>
          <w:lang w:val="en-US"/>
        </w:rPr>
        <w:t xml:space="preserve">Chavs, the Demonization of the Working Class, </w:t>
      </w:r>
      <w:r>
        <w:rPr>
          <w:sz w:val="22"/>
          <w:szCs w:val="22"/>
          <w:lang w:val="en-US"/>
        </w:rPr>
        <w:t>2016, Verso.</w:t>
      </w:r>
    </w:p>
    <w:p w:rsidR="00B01CF4" w:rsidRPr="00FA3CF6" w:rsidRDefault="00B01CF4" w:rsidP="00EF075B">
      <w:pPr>
        <w:rPr>
          <w:sz w:val="22"/>
          <w:szCs w:val="22"/>
          <w:lang w:val="en-US"/>
        </w:rPr>
      </w:pPr>
      <w:r w:rsidRPr="00FA3CF6">
        <w:rPr>
          <w:sz w:val="22"/>
          <w:szCs w:val="22"/>
          <w:lang w:val="en-US"/>
        </w:rPr>
        <w:t xml:space="preserve">Kavannagh, Dennis, </w:t>
      </w:r>
      <w:r w:rsidRPr="00FA3CF6">
        <w:rPr>
          <w:i/>
          <w:sz w:val="22"/>
          <w:szCs w:val="22"/>
          <w:lang w:val="en-US"/>
        </w:rPr>
        <w:t>British Politics, Continuities and Changes</w:t>
      </w:r>
      <w:r w:rsidRPr="00FA3CF6">
        <w:rPr>
          <w:sz w:val="22"/>
          <w:szCs w:val="22"/>
          <w:lang w:val="en-US"/>
        </w:rPr>
        <w:t xml:space="preserve">, 1998, </w:t>
      </w:r>
      <w:smartTag w:uri="urn:schemas-microsoft-com:office:smarttags" w:element="PlaceName">
        <w:smartTag w:uri="urn:schemas-microsoft-com:office:smarttags" w:element="place">
          <w:r w:rsidRPr="00FA3CF6">
            <w:rPr>
              <w:sz w:val="22"/>
              <w:szCs w:val="22"/>
              <w:lang w:val="en-US"/>
            </w:rPr>
            <w:t>Oxford</w:t>
          </w:r>
        </w:smartTag>
        <w:r w:rsidRPr="00FA3CF6">
          <w:rPr>
            <w:sz w:val="22"/>
            <w:szCs w:val="22"/>
            <w:lang w:val="en-US"/>
          </w:rPr>
          <w:t xml:space="preserve"> </w:t>
        </w:r>
        <w:smartTag w:uri="urn:schemas-microsoft-com:office:smarttags" w:element="PlaceType">
          <w:r w:rsidRPr="00FA3CF6">
            <w:rPr>
              <w:sz w:val="22"/>
              <w:szCs w:val="22"/>
              <w:lang w:val="en-US"/>
            </w:rPr>
            <w:t>University</w:t>
          </w:r>
        </w:smartTag>
      </w:smartTag>
      <w:r w:rsidRPr="00FA3CF6">
        <w:rPr>
          <w:sz w:val="22"/>
          <w:szCs w:val="22"/>
          <w:lang w:val="en-US"/>
        </w:rPr>
        <w:t xml:space="preserve"> Press.</w:t>
      </w:r>
    </w:p>
    <w:p w:rsidR="00B01CF4" w:rsidRDefault="00B01CF4" w:rsidP="00EF075B">
      <w:pPr>
        <w:rPr>
          <w:sz w:val="22"/>
          <w:szCs w:val="22"/>
          <w:lang w:val="en-US"/>
        </w:rPr>
      </w:pPr>
      <w:r w:rsidRPr="00FA3CF6">
        <w:rPr>
          <w:sz w:val="22"/>
          <w:szCs w:val="22"/>
          <w:lang w:val="en-US"/>
        </w:rPr>
        <w:t xml:space="preserve">Kavannagh, Dennis, Morris, Peter, </w:t>
      </w:r>
      <w:r w:rsidRPr="00FA3CF6">
        <w:rPr>
          <w:i/>
          <w:sz w:val="22"/>
          <w:szCs w:val="22"/>
          <w:lang w:val="en-US"/>
        </w:rPr>
        <w:t>Consensus Politics, From Atlee to Major</w:t>
      </w:r>
      <w:r w:rsidRPr="00FA3CF6">
        <w:rPr>
          <w:sz w:val="22"/>
          <w:szCs w:val="22"/>
          <w:lang w:val="en-US"/>
        </w:rPr>
        <w:t xml:space="preserve">, Institute of Contemporary History, 1995, </w:t>
      </w:r>
      <w:smartTag w:uri="urn:schemas-microsoft-com:office:smarttags" w:element="City">
        <w:smartTag w:uri="urn:schemas-microsoft-com:office:smarttags" w:element="place">
          <w:r w:rsidRPr="00FA3CF6">
            <w:rPr>
              <w:sz w:val="22"/>
              <w:szCs w:val="22"/>
              <w:lang w:val="en-US"/>
            </w:rPr>
            <w:t>Oxford</w:t>
          </w:r>
        </w:smartTag>
      </w:smartTag>
      <w:r w:rsidRPr="00FA3CF6">
        <w:rPr>
          <w:sz w:val="22"/>
          <w:szCs w:val="22"/>
          <w:lang w:val="en-US"/>
        </w:rPr>
        <w:t>.</w:t>
      </w:r>
    </w:p>
    <w:p w:rsidR="00B01CF4" w:rsidRPr="00FA3CF6" w:rsidRDefault="00B01CF4" w:rsidP="00EF075B">
      <w:pPr>
        <w:rPr>
          <w:sz w:val="22"/>
          <w:szCs w:val="22"/>
          <w:lang w:val="en-US"/>
        </w:rPr>
      </w:pPr>
      <w:r>
        <w:rPr>
          <w:sz w:val="22"/>
          <w:szCs w:val="22"/>
          <w:lang w:val="en-US"/>
        </w:rPr>
        <w:t xml:space="preserve">Lowe Norman, </w:t>
      </w:r>
      <w:r w:rsidRPr="00EE747E">
        <w:rPr>
          <w:i/>
          <w:sz w:val="22"/>
          <w:szCs w:val="22"/>
          <w:lang w:val="en-US"/>
        </w:rPr>
        <w:t>Mastering Modern World History</w:t>
      </w:r>
      <w:r>
        <w:rPr>
          <w:sz w:val="22"/>
          <w:szCs w:val="22"/>
          <w:lang w:val="en-US"/>
        </w:rPr>
        <w:t>, Fifth edition , 2013, Palgrave Macmillan.</w:t>
      </w:r>
    </w:p>
    <w:p w:rsidR="00B01CF4" w:rsidRPr="00FA3CF6" w:rsidRDefault="00B01CF4" w:rsidP="00EF075B">
      <w:pPr>
        <w:rPr>
          <w:sz w:val="22"/>
          <w:szCs w:val="22"/>
          <w:lang w:val="en-US"/>
        </w:rPr>
      </w:pPr>
      <w:r w:rsidRPr="00FA3CF6">
        <w:rPr>
          <w:sz w:val="22"/>
          <w:szCs w:val="22"/>
          <w:lang w:val="en-US"/>
        </w:rPr>
        <w:t xml:space="preserve">MacNall Burns, Edward, </w:t>
      </w:r>
      <w:r w:rsidRPr="00FA3CF6">
        <w:rPr>
          <w:i/>
          <w:sz w:val="22"/>
          <w:szCs w:val="22"/>
          <w:lang w:val="en-US"/>
        </w:rPr>
        <w:t>Western Civilisations</w:t>
      </w:r>
      <w:r w:rsidRPr="00FA3CF6">
        <w:rPr>
          <w:sz w:val="22"/>
          <w:szCs w:val="22"/>
          <w:lang w:val="en-US"/>
        </w:rPr>
        <w:t>, 1986, Norton.</w:t>
      </w:r>
    </w:p>
    <w:p w:rsidR="00B01CF4" w:rsidRPr="00FA3CF6" w:rsidRDefault="00B01CF4" w:rsidP="00EF075B">
      <w:pPr>
        <w:rPr>
          <w:sz w:val="22"/>
          <w:szCs w:val="22"/>
          <w:lang w:val="en-US"/>
        </w:rPr>
      </w:pPr>
      <w:r w:rsidRPr="00FA3CF6">
        <w:rPr>
          <w:sz w:val="22"/>
          <w:szCs w:val="22"/>
          <w:lang w:val="en-US"/>
        </w:rPr>
        <w:t xml:space="preserve">Thompson, E. P., </w:t>
      </w:r>
      <w:r w:rsidRPr="00FA3CF6">
        <w:rPr>
          <w:i/>
          <w:sz w:val="22"/>
          <w:szCs w:val="22"/>
          <w:lang w:val="en-US"/>
        </w:rPr>
        <w:t>The Making of the English Working Class</w:t>
      </w:r>
      <w:r w:rsidRPr="00FA3CF6">
        <w:rPr>
          <w:sz w:val="22"/>
          <w:szCs w:val="22"/>
          <w:lang w:val="en-US"/>
        </w:rPr>
        <w:t>, 1968, Penguin.</w:t>
      </w:r>
    </w:p>
    <w:p w:rsidR="00B01CF4" w:rsidRPr="00FA3CF6" w:rsidRDefault="00B01CF4" w:rsidP="00EF075B">
      <w:pPr>
        <w:rPr>
          <w:sz w:val="22"/>
          <w:szCs w:val="22"/>
          <w:lang w:val="en-US"/>
        </w:rPr>
      </w:pPr>
      <w:r w:rsidRPr="00FA3CF6">
        <w:rPr>
          <w:sz w:val="22"/>
          <w:szCs w:val="22"/>
          <w:lang w:val="en-US"/>
        </w:rPr>
        <w:t xml:space="preserve">Williams, E.N., </w:t>
      </w:r>
      <w:r w:rsidRPr="00FA3CF6">
        <w:rPr>
          <w:i/>
          <w:sz w:val="22"/>
          <w:szCs w:val="22"/>
          <w:lang w:val="en-US"/>
        </w:rPr>
        <w:t xml:space="preserve">A Documentary History of </w:t>
      </w:r>
      <w:smartTag w:uri="urn:schemas-microsoft-com:office:smarttags" w:element="City">
        <w:r w:rsidRPr="00FA3CF6">
          <w:rPr>
            <w:i/>
            <w:sz w:val="22"/>
            <w:szCs w:val="22"/>
            <w:lang w:val="en-US"/>
          </w:rPr>
          <w:t>England</w:t>
        </w:r>
      </w:smartTag>
      <w:r w:rsidRPr="00FA3CF6">
        <w:rPr>
          <w:sz w:val="22"/>
          <w:szCs w:val="22"/>
          <w:lang w:val="en-US"/>
        </w:rPr>
        <w:t>, Volume II, 1969, Pelican.</w:t>
      </w:r>
    </w:p>
    <w:p w:rsidR="00B01CF4" w:rsidRDefault="00B01CF4" w:rsidP="00EF075B">
      <w:pPr>
        <w:rPr>
          <w:sz w:val="22"/>
          <w:szCs w:val="22"/>
          <w:lang w:val="en-US"/>
        </w:rPr>
      </w:pPr>
    </w:p>
    <w:p w:rsidR="00B01CF4" w:rsidRPr="00844AB6" w:rsidRDefault="00B01CF4" w:rsidP="00EF075B">
      <w:pPr>
        <w:rPr>
          <w:b/>
          <w:sz w:val="22"/>
          <w:szCs w:val="22"/>
          <w:lang w:val="en-US"/>
        </w:rPr>
      </w:pPr>
      <w:r w:rsidRPr="00844AB6">
        <w:rPr>
          <w:b/>
          <w:sz w:val="22"/>
          <w:szCs w:val="22"/>
          <w:lang w:val="en-US"/>
        </w:rPr>
        <w:t>8.Bibliografia de consulta:</w:t>
      </w:r>
    </w:p>
    <w:p w:rsidR="00B01CF4" w:rsidRPr="00844AB6" w:rsidRDefault="00B01CF4" w:rsidP="00EF075B">
      <w:pPr>
        <w:rPr>
          <w:sz w:val="22"/>
          <w:szCs w:val="22"/>
          <w:lang w:val="en-US"/>
        </w:rPr>
      </w:pPr>
    </w:p>
    <w:p w:rsidR="00B01CF4" w:rsidRPr="00FA3CF6" w:rsidRDefault="00B01CF4" w:rsidP="00EF075B">
      <w:pPr>
        <w:rPr>
          <w:sz w:val="22"/>
          <w:szCs w:val="22"/>
          <w:lang w:val="en-US"/>
        </w:rPr>
      </w:pPr>
      <w:r w:rsidRPr="00FA3CF6">
        <w:rPr>
          <w:sz w:val="22"/>
          <w:szCs w:val="22"/>
          <w:lang w:val="en-US"/>
        </w:rPr>
        <w:t xml:space="preserve">Barraclough, Geoffrey, </w:t>
      </w:r>
      <w:r w:rsidRPr="00FA3CF6">
        <w:rPr>
          <w:i/>
          <w:sz w:val="22"/>
          <w:szCs w:val="22"/>
          <w:lang w:val="en-US"/>
        </w:rPr>
        <w:t>An Introduction to Contemporary History</w:t>
      </w:r>
      <w:r w:rsidRPr="00FA3CF6">
        <w:rPr>
          <w:sz w:val="22"/>
          <w:szCs w:val="22"/>
          <w:lang w:val="en-US"/>
        </w:rPr>
        <w:t>, 1976, Pelican.</w:t>
      </w:r>
    </w:p>
    <w:p w:rsidR="00B01CF4" w:rsidRPr="00FA3CF6" w:rsidRDefault="00B01CF4" w:rsidP="00EF075B">
      <w:pPr>
        <w:rPr>
          <w:sz w:val="22"/>
          <w:szCs w:val="22"/>
          <w:lang w:val="en-US"/>
        </w:rPr>
      </w:pPr>
      <w:r w:rsidRPr="00FA3CF6">
        <w:rPr>
          <w:sz w:val="22"/>
          <w:szCs w:val="22"/>
          <w:lang w:val="en-US"/>
        </w:rPr>
        <w:t xml:space="preserve">Carroll, Harry J., Embree, Ainslie T., Mellon Jr,, Knox, Schrier, Taylor A., </w:t>
      </w:r>
      <w:r w:rsidRPr="00FA3CF6">
        <w:rPr>
          <w:i/>
          <w:sz w:val="22"/>
          <w:szCs w:val="22"/>
          <w:lang w:val="en-US"/>
        </w:rPr>
        <w:t xml:space="preserve">The Development of Civilization, A Documentary History of Politics, Society and Thought, </w:t>
      </w:r>
      <w:r w:rsidRPr="00FA3CF6">
        <w:rPr>
          <w:sz w:val="22"/>
          <w:szCs w:val="22"/>
          <w:lang w:val="en-US"/>
        </w:rPr>
        <w:t>Vol. 2, 1962, University of Cincinnati.</w:t>
      </w:r>
    </w:p>
    <w:p w:rsidR="00B01CF4" w:rsidRPr="00FA3CF6" w:rsidRDefault="00B01CF4" w:rsidP="00EF075B">
      <w:pPr>
        <w:rPr>
          <w:sz w:val="22"/>
          <w:szCs w:val="22"/>
          <w:lang w:val="en-US"/>
        </w:rPr>
      </w:pPr>
      <w:r w:rsidRPr="00FA3CF6">
        <w:rPr>
          <w:sz w:val="22"/>
          <w:szCs w:val="22"/>
          <w:lang w:val="en-US"/>
        </w:rPr>
        <w:t xml:space="preserve">Fisher, H.A.L., </w:t>
      </w:r>
      <w:r w:rsidRPr="00FA3CF6">
        <w:rPr>
          <w:i/>
          <w:sz w:val="22"/>
          <w:szCs w:val="22"/>
          <w:lang w:val="en-US"/>
        </w:rPr>
        <w:t>A History of Europe</w:t>
      </w:r>
      <w:r w:rsidRPr="00FA3CF6">
        <w:rPr>
          <w:sz w:val="22"/>
          <w:szCs w:val="22"/>
          <w:lang w:val="en-US"/>
        </w:rPr>
        <w:t xml:space="preserve">, Vol.II, 1977, </w:t>
      </w:r>
      <w:smartTag w:uri="urn:schemas-microsoft-com:office:smarttags" w:element="City">
        <w:r w:rsidRPr="00FA3CF6">
          <w:rPr>
            <w:sz w:val="22"/>
            <w:szCs w:val="22"/>
            <w:lang w:val="en-US"/>
          </w:rPr>
          <w:t>Fontana</w:t>
        </w:r>
      </w:smartTag>
      <w:r w:rsidRPr="00FA3CF6">
        <w:rPr>
          <w:sz w:val="22"/>
          <w:szCs w:val="22"/>
          <w:lang w:val="en-US"/>
        </w:rPr>
        <w:t>.</w:t>
      </w:r>
    </w:p>
    <w:p w:rsidR="00B01CF4" w:rsidRPr="00FA3CF6" w:rsidRDefault="00B01CF4" w:rsidP="00EF075B">
      <w:pPr>
        <w:rPr>
          <w:sz w:val="22"/>
          <w:szCs w:val="22"/>
          <w:lang w:val="en-US"/>
        </w:rPr>
      </w:pPr>
      <w:r w:rsidRPr="00FA3CF6">
        <w:rPr>
          <w:sz w:val="22"/>
          <w:szCs w:val="22"/>
          <w:lang w:val="en-US"/>
        </w:rPr>
        <w:t xml:space="preserve">Fisher, Justin, </w:t>
      </w:r>
      <w:r w:rsidRPr="00FA3CF6">
        <w:rPr>
          <w:i/>
          <w:sz w:val="22"/>
          <w:szCs w:val="22"/>
          <w:lang w:val="en-US"/>
        </w:rPr>
        <w:t>British Political Parties</w:t>
      </w:r>
      <w:r w:rsidRPr="00FA3CF6">
        <w:rPr>
          <w:sz w:val="22"/>
          <w:szCs w:val="22"/>
          <w:lang w:val="en-US"/>
        </w:rPr>
        <w:t>, Contemporary Political Studies, 1996, Prentice Hall.</w:t>
      </w:r>
    </w:p>
    <w:p w:rsidR="00B01CF4" w:rsidRPr="00FA3CF6" w:rsidRDefault="00B01CF4" w:rsidP="00EF075B">
      <w:pPr>
        <w:rPr>
          <w:sz w:val="22"/>
          <w:szCs w:val="22"/>
          <w:lang w:val="en-US"/>
        </w:rPr>
      </w:pPr>
      <w:r w:rsidRPr="00FA3CF6">
        <w:rPr>
          <w:sz w:val="22"/>
          <w:szCs w:val="22"/>
          <w:lang w:val="en-US"/>
        </w:rPr>
        <w:t xml:space="preserve">Hobsbawm. Eric, </w:t>
      </w:r>
      <w:r w:rsidRPr="00FA3CF6">
        <w:rPr>
          <w:i/>
          <w:sz w:val="22"/>
          <w:szCs w:val="22"/>
          <w:lang w:val="en-US"/>
        </w:rPr>
        <w:t>Nations and Nationalism since 1870</w:t>
      </w:r>
      <w:r w:rsidRPr="00FA3CF6">
        <w:rPr>
          <w:sz w:val="22"/>
          <w:szCs w:val="22"/>
          <w:lang w:val="en-US"/>
        </w:rPr>
        <w:t xml:space="preserve">, 1992, </w:t>
      </w:r>
      <w:smartTag w:uri="urn:schemas-microsoft-com:office:smarttags" w:element="City">
        <w:smartTag w:uri="urn:schemas-microsoft-com:office:smarttags" w:element="City">
          <w:r w:rsidRPr="00FA3CF6">
            <w:rPr>
              <w:sz w:val="22"/>
              <w:szCs w:val="22"/>
              <w:lang w:val="en-US"/>
            </w:rPr>
            <w:t>Cambridge</w:t>
          </w:r>
        </w:smartTag>
        <w:r w:rsidRPr="00FA3CF6">
          <w:rPr>
            <w:sz w:val="22"/>
            <w:szCs w:val="22"/>
            <w:lang w:val="en-US"/>
          </w:rPr>
          <w:t xml:space="preserve"> </w:t>
        </w:r>
        <w:smartTag w:uri="urn:schemas-microsoft-com:office:smarttags" w:element="City">
          <w:r w:rsidRPr="00FA3CF6">
            <w:rPr>
              <w:sz w:val="22"/>
              <w:szCs w:val="22"/>
              <w:lang w:val="en-US"/>
            </w:rPr>
            <w:t>University</w:t>
          </w:r>
        </w:smartTag>
      </w:smartTag>
      <w:r w:rsidRPr="00FA3CF6">
        <w:rPr>
          <w:sz w:val="22"/>
          <w:szCs w:val="22"/>
          <w:lang w:val="en-US"/>
        </w:rPr>
        <w:t xml:space="preserve"> Press.</w:t>
      </w:r>
    </w:p>
    <w:p w:rsidR="00B01CF4" w:rsidRPr="00FA3CF6" w:rsidRDefault="00B01CF4" w:rsidP="00EF075B">
      <w:pPr>
        <w:rPr>
          <w:sz w:val="22"/>
          <w:szCs w:val="22"/>
          <w:lang w:val="en-US"/>
        </w:rPr>
      </w:pPr>
      <w:r w:rsidRPr="00FA3CF6">
        <w:rPr>
          <w:sz w:val="22"/>
          <w:szCs w:val="22"/>
          <w:lang w:val="en-US"/>
        </w:rPr>
        <w:t xml:space="preserve">Hobsbawm. Eric,  </w:t>
      </w:r>
      <w:r w:rsidRPr="00FA3CF6">
        <w:rPr>
          <w:i/>
          <w:sz w:val="22"/>
          <w:szCs w:val="22"/>
          <w:lang w:val="en-US"/>
        </w:rPr>
        <w:t>Revolutionaries,</w:t>
      </w:r>
      <w:r w:rsidRPr="00FA3CF6">
        <w:rPr>
          <w:sz w:val="22"/>
          <w:szCs w:val="22"/>
          <w:lang w:val="en-US"/>
        </w:rPr>
        <w:t xml:space="preserve"> 1973, </w:t>
      </w:r>
      <w:smartTag w:uri="urn:schemas-microsoft-com:office:smarttags" w:element="City">
        <w:r w:rsidRPr="00FA3CF6">
          <w:rPr>
            <w:sz w:val="22"/>
            <w:szCs w:val="22"/>
            <w:lang w:val="en-US"/>
          </w:rPr>
          <w:t>Phoenix</w:t>
        </w:r>
      </w:smartTag>
      <w:r w:rsidRPr="00FA3CF6">
        <w:rPr>
          <w:sz w:val="22"/>
          <w:szCs w:val="22"/>
          <w:lang w:val="en-US"/>
        </w:rPr>
        <w:t>.</w:t>
      </w:r>
    </w:p>
    <w:p w:rsidR="00B01CF4" w:rsidRPr="00FA3CF6" w:rsidRDefault="00B01CF4" w:rsidP="00EF075B">
      <w:pPr>
        <w:rPr>
          <w:sz w:val="22"/>
          <w:szCs w:val="22"/>
          <w:lang w:val="en-US"/>
        </w:rPr>
      </w:pPr>
      <w:r w:rsidRPr="00FA3CF6">
        <w:rPr>
          <w:sz w:val="22"/>
          <w:szCs w:val="22"/>
          <w:lang w:val="en-US"/>
        </w:rPr>
        <w:t xml:space="preserve">Todd, A., Curtis, J., </w:t>
      </w:r>
      <w:r w:rsidRPr="00FA3CF6">
        <w:rPr>
          <w:i/>
          <w:sz w:val="22"/>
          <w:szCs w:val="22"/>
          <w:lang w:val="en-US"/>
        </w:rPr>
        <w:t>Great Political Thinkers</w:t>
      </w:r>
      <w:r w:rsidRPr="00FA3CF6">
        <w:rPr>
          <w:sz w:val="22"/>
          <w:szCs w:val="22"/>
          <w:lang w:val="en-US"/>
        </w:rPr>
        <w:t>, Vol. II, 1979, Bantam.</w:t>
      </w:r>
    </w:p>
    <w:p w:rsidR="00B01CF4" w:rsidRPr="00FA3CF6" w:rsidRDefault="00B01CF4" w:rsidP="00EF075B">
      <w:pPr>
        <w:rPr>
          <w:sz w:val="22"/>
          <w:szCs w:val="22"/>
          <w:lang w:val="en-US"/>
        </w:rPr>
      </w:pPr>
      <w:r w:rsidRPr="00FA3CF6">
        <w:rPr>
          <w:sz w:val="22"/>
          <w:szCs w:val="22"/>
          <w:lang w:val="en-US"/>
        </w:rPr>
        <w:t xml:space="preserve">Trevelyan, G.M., </w:t>
      </w:r>
      <w:r w:rsidRPr="00FA3CF6">
        <w:rPr>
          <w:i/>
          <w:sz w:val="22"/>
          <w:szCs w:val="22"/>
          <w:lang w:val="en-US"/>
        </w:rPr>
        <w:t xml:space="preserve">History of </w:t>
      </w:r>
      <w:smartTag w:uri="urn:schemas-microsoft-com:office:smarttags" w:element="City">
        <w:r w:rsidRPr="00FA3CF6">
          <w:rPr>
            <w:i/>
            <w:sz w:val="22"/>
            <w:szCs w:val="22"/>
            <w:lang w:val="en-US"/>
          </w:rPr>
          <w:t>England</w:t>
        </w:r>
      </w:smartTag>
      <w:r w:rsidRPr="00FA3CF6">
        <w:rPr>
          <w:sz w:val="22"/>
          <w:szCs w:val="22"/>
          <w:lang w:val="en-US"/>
        </w:rPr>
        <w:t>, Reprinted 1989, Pelican.</w:t>
      </w:r>
    </w:p>
    <w:p w:rsidR="00B01CF4" w:rsidRPr="00FA3CF6" w:rsidRDefault="00B01CF4" w:rsidP="00EF075B">
      <w:pPr>
        <w:rPr>
          <w:sz w:val="22"/>
          <w:szCs w:val="22"/>
          <w:lang w:val="en-US"/>
        </w:rPr>
      </w:pPr>
      <w:r w:rsidRPr="00FA3CF6">
        <w:rPr>
          <w:sz w:val="22"/>
          <w:szCs w:val="22"/>
          <w:lang w:val="en-US"/>
        </w:rPr>
        <w:t>Trevelyan, G.M</w:t>
      </w:r>
      <w:r w:rsidRPr="00FA3CF6">
        <w:rPr>
          <w:i/>
          <w:sz w:val="22"/>
          <w:szCs w:val="22"/>
          <w:lang w:val="en-US"/>
        </w:rPr>
        <w:t>., Illustrated English Social History</w:t>
      </w:r>
      <w:r w:rsidRPr="00FA3CF6">
        <w:rPr>
          <w:sz w:val="22"/>
          <w:szCs w:val="22"/>
          <w:lang w:val="en-US"/>
        </w:rPr>
        <w:t>, 1985, Pelican.</w:t>
      </w:r>
    </w:p>
    <w:p w:rsidR="00B01CF4" w:rsidRPr="00FA3CF6" w:rsidRDefault="00B01CF4" w:rsidP="00EF075B">
      <w:pPr>
        <w:rPr>
          <w:sz w:val="22"/>
          <w:szCs w:val="22"/>
          <w:lang w:val="en-US"/>
        </w:rPr>
      </w:pPr>
      <w:r w:rsidRPr="00FA3CF6">
        <w:rPr>
          <w:sz w:val="22"/>
          <w:szCs w:val="22"/>
          <w:lang w:val="en-US"/>
        </w:rPr>
        <w:t xml:space="preserve">Wright Mills, C., </w:t>
      </w:r>
      <w:r w:rsidRPr="00FA3CF6">
        <w:rPr>
          <w:i/>
          <w:sz w:val="22"/>
          <w:szCs w:val="22"/>
          <w:lang w:val="en-US"/>
        </w:rPr>
        <w:t>The Marxists</w:t>
      </w:r>
      <w:r w:rsidRPr="00FA3CF6">
        <w:rPr>
          <w:sz w:val="22"/>
          <w:szCs w:val="22"/>
          <w:lang w:val="en-US"/>
        </w:rPr>
        <w:t>, 1978, Pelican.</w:t>
      </w:r>
    </w:p>
    <w:p w:rsidR="00B01CF4" w:rsidRPr="00194F40" w:rsidRDefault="00B01CF4" w:rsidP="00EF075B">
      <w:pPr>
        <w:rPr>
          <w:lang w:val="en-US"/>
        </w:rPr>
      </w:pPr>
      <w:r w:rsidRPr="00194F40">
        <w:rPr>
          <w:lang w:val="en-US"/>
        </w:rPr>
        <w:t>Archer, C. ( ed.)(1992). International Organizations. Londres: Routledge.</w:t>
      </w:r>
    </w:p>
    <w:p w:rsidR="00B01CF4" w:rsidRDefault="00B01CF4" w:rsidP="00EF075B">
      <w:r w:rsidRPr="00194F40">
        <w:rPr>
          <w:lang w:val="en-US"/>
        </w:rPr>
        <w:t xml:space="preserve">Howard, M; Louis,R.(1998). The </w:t>
      </w:r>
      <w:smartTag w:uri="urn:schemas-microsoft-com:office:smarttags" w:element="City">
        <w:r w:rsidRPr="00194F40">
          <w:rPr>
            <w:lang w:val="en-US"/>
          </w:rPr>
          <w:t>Oxford</w:t>
        </w:r>
      </w:smartTag>
      <w:r w:rsidRPr="00194F40">
        <w:rPr>
          <w:lang w:val="en-US"/>
        </w:rPr>
        <w:t xml:space="preserve"> History of the Twentieth Century. </w:t>
      </w:r>
      <w:r>
        <w:t>Nueva York y Londres: Oxford University Press.</w:t>
      </w:r>
    </w:p>
    <w:p w:rsidR="00B01CF4" w:rsidRPr="002054CB" w:rsidRDefault="00B01CF4" w:rsidP="00EF075B">
      <w:pPr>
        <w:rPr>
          <w:sz w:val="22"/>
          <w:szCs w:val="22"/>
          <w:lang w:val="es-ES"/>
        </w:rPr>
      </w:pPr>
    </w:p>
    <w:p w:rsidR="00B01CF4" w:rsidRPr="00FA3CF6" w:rsidRDefault="00B01CF4" w:rsidP="00EF075B">
      <w:pPr>
        <w:rPr>
          <w:b/>
          <w:sz w:val="22"/>
          <w:szCs w:val="22"/>
        </w:rPr>
      </w:pPr>
      <w:r w:rsidRPr="002054CB">
        <w:rPr>
          <w:sz w:val="22"/>
          <w:szCs w:val="22"/>
          <w:lang w:val="es-ES"/>
        </w:rPr>
        <w:t>9.</w:t>
      </w:r>
      <w:r>
        <w:rPr>
          <w:b/>
        </w:rPr>
        <w:t xml:space="preserve">Sistema de cursado y promoción </w:t>
      </w:r>
    </w:p>
    <w:p w:rsidR="00B01CF4" w:rsidRPr="00FA3CF6" w:rsidRDefault="00B01CF4" w:rsidP="00EF075B">
      <w:pPr>
        <w:rPr>
          <w:sz w:val="22"/>
          <w:szCs w:val="22"/>
        </w:rPr>
      </w:pPr>
      <w:r w:rsidRPr="00FA3CF6">
        <w:rPr>
          <w:sz w:val="22"/>
          <w:szCs w:val="22"/>
        </w:rPr>
        <w:t>1.- Promoción sin examen final</w:t>
      </w:r>
    </w:p>
    <w:p w:rsidR="00B01CF4" w:rsidRPr="00FA3CF6" w:rsidRDefault="00B01CF4" w:rsidP="00EF075B">
      <w:pPr>
        <w:rPr>
          <w:sz w:val="22"/>
          <w:szCs w:val="22"/>
        </w:rPr>
      </w:pPr>
      <w:r w:rsidRPr="00FA3CF6">
        <w:rPr>
          <w:sz w:val="22"/>
          <w:szCs w:val="22"/>
        </w:rPr>
        <w:t>Para poder promocionar la materia sin examen final, el alumno deberá cumplir con los siguientes requisitos:</w:t>
      </w:r>
    </w:p>
    <w:p w:rsidR="00B01CF4" w:rsidRPr="00FA3CF6" w:rsidRDefault="00B01CF4" w:rsidP="00EF075B">
      <w:pPr>
        <w:rPr>
          <w:sz w:val="22"/>
          <w:szCs w:val="22"/>
        </w:rPr>
      </w:pPr>
      <w:r>
        <w:rPr>
          <w:sz w:val="22"/>
          <w:szCs w:val="22"/>
        </w:rPr>
        <w:t>a.C</w:t>
      </w:r>
      <w:r w:rsidRPr="00FA3CF6">
        <w:rPr>
          <w:sz w:val="22"/>
          <w:szCs w:val="22"/>
        </w:rPr>
        <w:t>umplir con el porcentaje de asistencia fijado por las normas reglamentarias de la institución.</w:t>
      </w:r>
    </w:p>
    <w:p w:rsidR="00B01CF4" w:rsidRPr="00FA3CF6" w:rsidRDefault="00B01CF4" w:rsidP="00EF075B">
      <w:pPr>
        <w:rPr>
          <w:sz w:val="22"/>
          <w:szCs w:val="22"/>
        </w:rPr>
      </w:pPr>
      <w:r>
        <w:rPr>
          <w:sz w:val="22"/>
          <w:szCs w:val="22"/>
        </w:rPr>
        <w:t>b.</w:t>
      </w:r>
      <w:r w:rsidRPr="00FA3CF6">
        <w:rPr>
          <w:sz w:val="22"/>
          <w:szCs w:val="22"/>
        </w:rPr>
        <w:t>Realizar las lecturas correspondientes y participar en las discusiones y debates planteados.</w:t>
      </w:r>
    </w:p>
    <w:p w:rsidR="00B01CF4" w:rsidRDefault="00B01CF4" w:rsidP="00EF075B">
      <w:pPr>
        <w:rPr>
          <w:sz w:val="22"/>
          <w:szCs w:val="22"/>
        </w:rPr>
      </w:pPr>
      <w:r>
        <w:rPr>
          <w:sz w:val="22"/>
          <w:szCs w:val="22"/>
        </w:rPr>
        <w:t>c.</w:t>
      </w:r>
      <w:r w:rsidRPr="00FA3CF6">
        <w:rPr>
          <w:sz w:val="22"/>
          <w:szCs w:val="22"/>
        </w:rPr>
        <w:t>Aprobar los exámenes parciales con nota  7 (siete ) o superior, pudiendo recuperar hasta dos de ellos. Cada uno de los diferentes parciales es integrador de los contenidos mínimos del anterior y articula un nuevo eje conceptual, motivo por el cual la totalidad de los mismos deben ser aprobados en las condiciones anteriormente mencionadas en este ítem. Esta articulación tiene como componente básico una integración general de los diferentes contenidos al momento de la aprobación de la última instancia evaluativa.</w:t>
      </w:r>
    </w:p>
    <w:p w:rsidR="00B01CF4" w:rsidRDefault="00B01CF4" w:rsidP="00EF075B">
      <w:pPr>
        <w:rPr>
          <w:sz w:val="22"/>
          <w:szCs w:val="22"/>
        </w:rPr>
      </w:pPr>
      <w:r>
        <w:rPr>
          <w:sz w:val="22"/>
          <w:szCs w:val="22"/>
        </w:rPr>
        <w:t>d.</w:t>
      </w:r>
      <w:r w:rsidRPr="00FA3CF6">
        <w:rPr>
          <w:sz w:val="22"/>
          <w:szCs w:val="22"/>
        </w:rPr>
        <w:t>Realizar un trabajo breve de investigación monográfica sobre un tema de historia del siglo XX a elección el alumno.</w:t>
      </w:r>
    </w:p>
    <w:p w:rsidR="00B01CF4" w:rsidRPr="00FA3CF6" w:rsidRDefault="00B01CF4" w:rsidP="00EF075B">
      <w:pPr>
        <w:rPr>
          <w:sz w:val="22"/>
          <w:szCs w:val="22"/>
        </w:rPr>
      </w:pPr>
      <w:r>
        <w:rPr>
          <w:sz w:val="22"/>
          <w:szCs w:val="22"/>
        </w:rPr>
        <w:t>e. Aprobar la instancia integradora oral.</w:t>
      </w:r>
    </w:p>
    <w:p w:rsidR="00B01CF4" w:rsidRPr="00FA3CF6" w:rsidRDefault="00B01CF4" w:rsidP="00EF075B">
      <w:pPr>
        <w:rPr>
          <w:sz w:val="22"/>
          <w:szCs w:val="22"/>
        </w:rPr>
      </w:pPr>
    </w:p>
    <w:p w:rsidR="00B01CF4" w:rsidRPr="00FA3CF6" w:rsidRDefault="00B01CF4" w:rsidP="00EF075B">
      <w:pPr>
        <w:rPr>
          <w:sz w:val="22"/>
          <w:szCs w:val="22"/>
        </w:rPr>
      </w:pPr>
      <w:r w:rsidRPr="00FA3CF6">
        <w:rPr>
          <w:sz w:val="22"/>
          <w:szCs w:val="22"/>
        </w:rPr>
        <w:t>2.- Promoción con examen final</w:t>
      </w:r>
    </w:p>
    <w:p w:rsidR="00B01CF4" w:rsidRPr="00FA3CF6" w:rsidRDefault="00B01CF4" w:rsidP="00EF075B">
      <w:pPr>
        <w:rPr>
          <w:sz w:val="22"/>
          <w:szCs w:val="22"/>
        </w:rPr>
      </w:pPr>
      <w:r w:rsidRPr="00FA3CF6">
        <w:rPr>
          <w:sz w:val="22"/>
          <w:szCs w:val="22"/>
        </w:rPr>
        <w:t>Aquellos alumnos que no obtuviesen la promoción pero cuyas notas alcancen al menos  el promedio de 4 (cuatro) puntos y hayan cumplido con los trabajos prácticos y la asistencia indicada, podrán rendir examen final.</w:t>
      </w:r>
    </w:p>
    <w:p w:rsidR="00B01CF4" w:rsidRPr="00EF075B" w:rsidRDefault="00B01CF4" w:rsidP="00EF075B">
      <w:pPr>
        <w:ind w:left="360"/>
        <w:rPr>
          <w:sz w:val="22"/>
          <w:szCs w:val="22"/>
        </w:rPr>
      </w:pPr>
      <w:r w:rsidRPr="00EF075B">
        <w:rPr>
          <w:sz w:val="22"/>
          <w:szCs w:val="22"/>
        </w:rPr>
        <w:t>Alumno libre</w:t>
      </w:r>
      <w:r>
        <w:rPr>
          <w:sz w:val="22"/>
          <w:szCs w:val="22"/>
        </w:rPr>
        <w:t>:</w:t>
      </w:r>
    </w:p>
    <w:p w:rsidR="00B01CF4" w:rsidRDefault="00B01CF4" w:rsidP="00EF075B">
      <w:pPr>
        <w:rPr>
          <w:sz w:val="22"/>
          <w:szCs w:val="22"/>
        </w:rPr>
      </w:pPr>
      <w:r w:rsidRPr="00FA3CF6">
        <w:rPr>
          <w:sz w:val="22"/>
          <w:szCs w:val="22"/>
        </w:rPr>
        <w:t>Los alumnos libres deberán rendir examen escrito y oral, ambos eliminatorios.</w:t>
      </w:r>
      <w:r>
        <w:rPr>
          <w:sz w:val="22"/>
          <w:szCs w:val="22"/>
        </w:rPr>
        <w:t xml:space="preserve"> Previamente se deberán contactar con el docente y el Jefe de Carrera.</w:t>
      </w:r>
      <w:r w:rsidRPr="00FA3CF6">
        <w:rPr>
          <w:sz w:val="22"/>
          <w:szCs w:val="22"/>
        </w:rPr>
        <w:t xml:space="preserve"> Deberán manejar la totalidad de los contenidos del programa y la bibliografía indicada como obligatoria. Toda ella se encuentra a disposición del alumno en la sección de fotocopias de la institución.</w:t>
      </w:r>
    </w:p>
    <w:p w:rsidR="00B01CF4" w:rsidRDefault="00B01CF4">
      <w:pPr>
        <w:tabs>
          <w:tab w:val="center" w:pos="4419"/>
          <w:tab w:val="right" w:pos="8838"/>
        </w:tabs>
        <w:jc w:val="center"/>
        <w:rPr>
          <w:sz w:val="20"/>
          <w:szCs w:val="20"/>
        </w:rPr>
      </w:pPr>
    </w:p>
    <w:sectPr w:rsidR="00B01CF4" w:rsidSect="00FD3038">
      <w:footerReference w:type="even" r:id="rId9"/>
      <w:footerReference w:type="default" r:id="rId10"/>
      <w:pgSz w:w="12240" w:h="15840"/>
      <w:pgMar w:top="709" w:right="1418" w:bottom="1134" w:left="1418"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F4" w:rsidRDefault="00B01CF4">
      <w:r>
        <w:separator/>
      </w:r>
    </w:p>
  </w:endnote>
  <w:endnote w:type="continuationSeparator" w:id="0">
    <w:p w:rsidR="00B01CF4" w:rsidRDefault="00B0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F4" w:rsidRDefault="00B01CF4">
    <w:pPr>
      <w:tabs>
        <w:tab w:val="center" w:pos="4419"/>
        <w:tab w:val="right" w:pos="8838"/>
      </w:tabs>
      <w:jc w:val="right"/>
    </w:pPr>
    <w:r>
      <w:fldChar w:fldCharType="begin"/>
    </w:r>
    <w:r>
      <w:instrText>PAGE</w:instrText>
    </w:r>
    <w:r>
      <w:fldChar w:fldCharType="end"/>
    </w:r>
  </w:p>
  <w:p w:rsidR="00B01CF4" w:rsidRDefault="00B01CF4">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F4" w:rsidRDefault="00B01CF4">
    <w:pPr>
      <w:tabs>
        <w:tab w:val="center" w:pos="4419"/>
        <w:tab w:val="right" w:pos="8838"/>
      </w:tabs>
      <w:jc w:val="right"/>
    </w:pPr>
    <w:fldSimple w:instr="PAGE">
      <w:r>
        <w:rPr>
          <w:noProof/>
        </w:rPr>
        <w:t>3</w:t>
      </w:r>
    </w:fldSimple>
  </w:p>
  <w:p w:rsidR="00B01CF4" w:rsidRDefault="00B01CF4">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F4" w:rsidRDefault="00B01CF4">
      <w:r>
        <w:separator/>
      </w:r>
    </w:p>
  </w:footnote>
  <w:footnote w:type="continuationSeparator" w:id="0">
    <w:p w:rsidR="00B01CF4" w:rsidRDefault="00B01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85FBE"/>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1">
    <w:nsid w:val="51E509EF"/>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
    <w:nsid w:val="72C41B43"/>
    <w:multiLevelType w:val="multilevel"/>
    <w:tmpl w:val="33F47A56"/>
    <w:lvl w:ilvl="0">
      <w:start w:val="1"/>
      <w:numFmt w:val="decimal"/>
      <w:lvlText w:val="%1-"/>
      <w:lvlJc w:val="left"/>
      <w:pPr>
        <w:ind w:left="360" w:hanging="360"/>
      </w:pPr>
      <w:rPr>
        <w:rFonts w:cs="Times New Roman"/>
        <w:b/>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7D2"/>
    <w:rsid w:val="000A517B"/>
    <w:rsid w:val="000B408E"/>
    <w:rsid w:val="00194F40"/>
    <w:rsid w:val="002054CB"/>
    <w:rsid w:val="002C7D50"/>
    <w:rsid w:val="003377D2"/>
    <w:rsid w:val="003B4D68"/>
    <w:rsid w:val="0050632E"/>
    <w:rsid w:val="005131EC"/>
    <w:rsid w:val="006213D2"/>
    <w:rsid w:val="00621FA0"/>
    <w:rsid w:val="006865C5"/>
    <w:rsid w:val="00844888"/>
    <w:rsid w:val="00844AB6"/>
    <w:rsid w:val="009E6E3E"/>
    <w:rsid w:val="00A2503A"/>
    <w:rsid w:val="00AE6E7D"/>
    <w:rsid w:val="00B01CF4"/>
    <w:rsid w:val="00DB511B"/>
    <w:rsid w:val="00E71F0E"/>
    <w:rsid w:val="00EC3B3F"/>
    <w:rsid w:val="00EE1CBC"/>
    <w:rsid w:val="00EE747E"/>
    <w:rsid w:val="00EF075B"/>
    <w:rsid w:val="00F13F67"/>
    <w:rsid w:val="00F1498B"/>
    <w:rsid w:val="00FA3CF6"/>
    <w:rsid w:val="00FD303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38"/>
    <w:rPr>
      <w:color w:val="000000"/>
      <w:sz w:val="24"/>
      <w:szCs w:val="24"/>
      <w:lang w:val="es-MX"/>
    </w:rPr>
  </w:style>
  <w:style w:type="paragraph" w:styleId="Heading1">
    <w:name w:val="heading 1"/>
    <w:basedOn w:val="Normal"/>
    <w:next w:val="Normal"/>
    <w:link w:val="Heading1Char"/>
    <w:uiPriority w:val="99"/>
    <w:qFormat/>
    <w:rsid w:val="00FD3038"/>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D3038"/>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D3038"/>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D3038"/>
    <w:pPr>
      <w:keepNext/>
      <w:keepLines/>
      <w:spacing w:before="240" w:after="40"/>
      <w:outlineLvl w:val="3"/>
    </w:pPr>
    <w:rPr>
      <w:b/>
    </w:rPr>
  </w:style>
  <w:style w:type="paragraph" w:styleId="Heading5">
    <w:name w:val="heading 5"/>
    <w:basedOn w:val="Normal"/>
    <w:next w:val="Normal"/>
    <w:link w:val="Heading5Char"/>
    <w:uiPriority w:val="99"/>
    <w:qFormat/>
    <w:rsid w:val="00FD3038"/>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FD303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es-MX"/>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es-MX"/>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es-MX"/>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lang w:val="es-MX"/>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es-MX"/>
    </w:rPr>
  </w:style>
  <w:style w:type="character" w:customStyle="1" w:styleId="Heading6Char">
    <w:name w:val="Heading 6 Char"/>
    <w:basedOn w:val="DefaultParagraphFont"/>
    <w:link w:val="Heading6"/>
    <w:uiPriority w:val="99"/>
    <w:semiHidden/>
    <w:locked/>
    <w:rPr>
      <w:rFonts w:ascii="Calibri" w:hAnsi="Calibri" w:cs="Times New Roman"/>
      <w:b/>
      <w:bCs/>
      <w:color w:val="000000"/>
      <w:lang w:val="es-MX"/>
    </w:rPr>
  </w:style>
  <w:style w:type="table" w:customStyle="1" w:styleId="TableNormal1">
    <w:name w:val="Table Normal1"/>
    <w:uiPriority w:val="99"/>
    <w:rsid w:val="00FD3038"/>
    <w:rPr>
      <w:color w:val="000000"/>
      <w:sz w:val="24"/>
      <w:szCs w:val="24"/>
      <w:lang w:val="es-MX"/>
    </w:rPr>
    <w:tblPr>
      <w:tblCellMar>
        <w:top w:w="0" w:type="dxa"/>
        <w:left w:w="0" w:type="dxa"/>
        <w:bottom w:w="0" w:type="dxa"/>
        <w:right w:w="0" w:type="dxa"/>
      </w:tblCellMar>
    </w:tblPr>
  </w:style>
  <w:style w:type="paragraph" w:styleId="Title">
    <w:name w:val="Title"/>
    <w:basedOn w:val="Normal"/>
    <w:next w:val="Normal"/>
    <w:link w:val="TitleChar"/>
    <w:uiPriority w:val="99"/>
    <w:qFormat/>
    <w:rsid w:val="00FD3038"/>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lang w:val="es-MX"/>
    </w:rPr>
  </w:style>
  <w:style w:type="paragraph" w:styleId="Subtitle">
    <w:name w:val="Subtitle"/>
    <w:basedOn w:val="Normal"/>
    <w:next w:val="Normal"/>
    <w:link w:val="SubtitleChar"/>
    <w:uiPriority w:val="99"/>
    <w:qFormat/>
    <w:rsid w:val="00FD303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lang w:val="es-MX"/>
    </w:rPr>
  </w:style>
  <w:style w:type="table" w:customStyle="1" w:styleId="Estilo">
    <w:name w:val="Estilo"/>
    <w:basedOn w:val="TableNormal1"/>
    <w:uiPriority w:val="99"/>
    <w:rsid w:val="00FD3038"/>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6213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1174</Words>
  <Characters>6458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Vice Fabia</dc:creator>
  <cp:keywords/>
  <dc:description/>
  <cp:lastModifiedBy>Alejandro</cp:lastModifiedBy>
  <cp:revision>5</cp:revision>
  <dcterms:created xsi:type="dcterms:W3CDTF">2018-04-26T18:39:00Z</dcterms:created>
  <dcterms:modified xsi:type="dcterms:W3CDTF">2018-04-26T18:59:00Z</dcterms:modified>
</cp:coreProperties>
</file>