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0E355" w14:textId="77777777" w:rsidR="003377D2" w:rsidRDefault="006865C5">
      <w:pPr>
        <w:rPr>
          <w:rFonts w:ascii="Arial" w:eastAsia="Arial" w:hAnsi="Arial" w:cs="Arial"/>
        </w:rPr>
      </w:pPr>
      <w:r>
        <w:rPr>
          <w:rFonts w:ascii="Arial" w:eastAsia="Arial" w:hAnsi="Arial" w:cs="Arial"/>
        </w:rPr>
        <w:t xml:space="preserve"> </w:t>
      </w:r>
      <w:r>
        <w:rPr>
          <w:rFonts w:ascii="Arial" w:eastAsia="Arial" w:hAnsi="Arial" w:cs="Arial"/>
        </w:rPr>
        <w:tab/>
      </w:r>
    </w:p>
    <w:p w14:paraId="574E2DDD" w14:textId="77777777" w:rsidR="003377D2" w:rsidRDefault="003377D2">
      <w:pPr>
        <w:rPr>
          <w:rFonts w:ascii="Arial" w:eastAsia="Arial" w:hAnsi="Arial" w:cs="Arial"/>
        </w:rPr>
      </w:pPr>
    </w:p>
    <w:p w14:paraId="6D425D1C" w14:textId="77777777" w:rsidR="003377D2" w:rsidRDefault="003377D2">
      <w:pPr>
        <w:jc w:val="both"/>
      </w:pPr>
    </w:p>
    <w:p w14:paraId="25FAF59B" w14:textId="77777777" w:rsidR="00CC5317" w:rsidRDefault="00CC5317">
      <w:pPr>
        <w:jc w:val="both"/>
      </w:pPr>
    </w:p>
    <w:p w14:paraId="27AD0DA8" w14:textId="77777777" w:rsidR="00CC5317" w:rsidRDefault="00CC5317">
      <w:pPr>
        <w:jc w:val="both"/>
      </w:pPr>
    </w:p>
    <w:p w14:paraId="34F1B169" w14:textId="77777777" w:rsidR="00CC5317" w:rsidRDefault="00CC5317">
      <w:pPr>
        <w:jc w:val="both"/>
      </w:pPr>
    </w:p>
    <w:tbl>
      <w:tblPr>
        <w:tblStyle w:val="a"/>
        <w:tblW w:w="9544" w:type="dxa"/>
        <w:tblInd w:w="0" w:type="dxa"/>
        <w:tblLayout w:type="fixed"/>
        <w:tblLook w:val="0000" w:firstRow="0" w:lastRow="0" w:firstColumn="0" w:lastColumn="0" w:noHBand="0" w:noVBand="0"/>
      </w:tblPr>
      <w:tblGrid>
        <w:gridCol w:w="4772"/>
        <w:gridCol w:w="4772"/>
      </w:tblGrid>
      <w:tr w:rsidR="00E45300" w14:paraId="12670038" w14:textId="77777777" w:rsidTr="00C66D32">
        <w:tc>
          <w:tcPr>
            <w:tcW w:w="4772" w:type="dxa"/>
          </w:tcPr>
          <w:p w14:paraId="372FD8A5" w14:textId="77777777" w:rsidR="00E45300" w:rsidRDefault="00E45300" w:rsidP="00C66D32">
            <w:pPr>
              <w:tabs>
                <w:tab w:val="left" w:pos="2891"/>
                <w:tab w:val="center" w:pos="4419"/>
                <w:tab w:val="right" w:pos="8838"/>
              </w:tabs>
              <w:jc w:val="center"/>
              <w:rPr>
                <w:sz w:val="20"/>
                <w:szCs w:val="20"/>
              </w:rPr>
            </w:pPr>
            <w:r>
              <w:rPr>
                <w:noProof/>
                <w:sz w:val="20"/>
                <w:szCs w:val="20"/>
                <w:lang w:val="es-AR"/>
              </w:rPr>
              <w:drawing>
                <wp:inline distT="0" distB="0" distL="114300" distR="114300" wp14:anchorId="1DA27036" wp14:editId="7BB792FE">
                  <wp:extent cx="527050" cy="7016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27050" cy="701675"/>
                          </a:xfrm>
                          <a:prstGeom prst="rect">
                            <a:avLst/>
                          </a:prstGeom>
                          <a:ln/>
                        </pic:spPr>
                      </pic:pic>
                    </a:graphicData>
                  </a:graphic>
                </wp:inline>
              </w:drawing>
            </w:r>
            <w:r>
              <w:rPr>
                <w:sz w:val="20"/>
                <w:szCs w:val="20"/>
              </w:rPr>
              <w:t xml:space="preserve"> </w:t>
            </w:r>
          </w:p>
          <w:p w14:paraId="41970111" w14:textId="77777777" w:rsidR="00E45300" w:rsidRDefault="00E45300" w:rsidP="00C66D32">
            <w:pPr>
              <w:tabs>
                <w:tab w:val="left" w:pos="2891"/>
                <w:tab w:val="center" w:pos="4419"/>
                <w:tab w:val="right" w:pos="8838"/>
              </w:tabs>
              <w:jc w:val="center"/>
              <w:rPr>
                <w:sz w:val="20"/>
                <w:szCs w:val="20"/>
              </w:rPr>
            </w:pPr>
            <w:r>
              <w:rPr>
                <w:sz w:val="20"/>
                <w:szCs w:val="20"/>
              </w:rPr>
              <w:t>GOBIERNO DE LA CIUDAD DE BUENOS AIRES</w:t>
            </w:r>
          </w:p>
          <w:p w14:paraId="5910BBD2" w14:textId="77777777" w:rsidR="00E45300" w:rsidRDefault="00E45300" w:rsidP="00C66D32">
            <w:pPr>
              <w:tabs>
                <w:tab w:val="center" w:pos="4419"/>
                <w:tab w:val="right" w:pos="8838"/>
              </w:tabs>
              <w:jc w:val="center"/>
              <w:rPr>
                <w:sz w:val="20"/>
                <w:szCs w:val="20"/>
              </w:rPr>
            </w:pPr>
            <w:r>
              <w:rPr>
                <w:sz w:val="20"/>
                <w:szCs w:val="20"/>
              </w:rPr>
              <w:t>Ministerio de Educación</w:t>
            </w:r>
          </w:p>
          <w:p w14:paraId="72024E8A" w14:textId="77777777" w:rsidR="00E45300" w:rsidRDefault="00E45300" w:rsidP="00C66D32">
            <w:pPr>
              <w:tabs>
                <w:tab w:val="center" w:pos="4419"/>
                <w:tab w:val="right" w:pos="8838"/>
              </w:tabs>
              <w:jc w:val="center"/>
              <w:rPr>
                <w:sz w:val="20"/>
                <w:szCs w:val="20"/>
              </w:rPr>
            </w:pPr>
            <w:r>
              <w:rPr>
                <w:sz w:val="20"/>
                <w:szCs w:val="20"/>
              </w:rPr>
              <w:t>Dirección General de Educación Superior</w:t>
            </w:r>
          </w:p>
        </w:tc>
        <w:tc>
          <w:tcPr>
            <w:tcW w:w="4772" w:type="dxa"/>
          </w:tcPr>
          <w:p w14:paraId="5D8BE982" w14:textId="77777777" w:rsidR="00E45300" w:rsidRDefault="00E45300" w:rsidP="00C66D32">
            <w:pPr>
              <w:tabs>
                <w:tab w:val="center" w:pos="4419"/>
                <w:tab w:val="right" w:pos="8838"/>
              </w:tabs>
              <w:jc w:val="center"/>
              <w:rPr>
                <w:sz w:val="20"/>
                <w:szCs w:val="20"/>
              </w:rPr>
            </w:pPr>
            <w:r>
              <w:rPr>
                <w:noProof/>
                <w:lang w:val="es-AR"/>
              </w:rPr>
              <w:drawing>
                <wp:anchor distT="0" distB="0" distL="114300" distR="114300" simplePos="0" relativeHeight="251660288" behindDoc="0" locked="0" layoutInCell="1" hidden="0" allowOverlap="1" wp14:anchorId="4C8F1023" wp14:editId="276ADDEA">
                  <wp:simplePos x="0" y="0"/>
                  <wp:positionH relativeFrom="margin">
                    <wp:posOffset>885825</wp:posOffset>
                  </wp:positionH>
                  <wp:positionV relativeFrom="paragraph">
                    <wp:posOffset>19050</wp:posOffset>
                  </wp:positionV>
                  <wp:extent cx="857250" cy="695325"/>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857250" cy="695325"/>
                          </a:xfrm>
                          <a:prstGeom prst="rect">
                            <a:avLst/>
                          </a:prstGeom>
                          <a:ln/>
                        </pic:spPr>
                      </pic:pic>
                    </a:graphicData>
                  </a:graphic>
                </wp:anchor>
              </w:drawing>
            </w:r>
          </w:p>
          <w:p w14:paraId="5B8A1749" w14:textId="77777777" w:rsidR="00E45300" w:rsidRDefault="00E45300" w:rsidP="00C66D32">
            <w:pPr>
              <w:tabs>
                <w:tab w:val="center" w:pos="4419"/>
                <w:tab w:val="right" w:pos="8838"/>
              </w:tabs>
              <w:jc w:val="center"/>
              <w:rPr>
                <w:sz w:val="20"/>
                <w:szCs w:val="20"/>
              </w:rPr>
            </w:pPr>
          </w:p>
          <w:p w14:paraId="5BAC3D69" w14:textId="77777777" w:rsidR="00E45300" w:rsidRDefault="00E45300" w:rsidP="00C66D32">
            <w:pPr>
              <w:tabs>
                <w:tab w:val="center" w:pos="4419"/>
                <w:tab w:val="right" w:pos="8838"/>
              </w:tabs>
              <w:jc w:val="center"/>
              <w:rPr>
                <w:sz w:val="20"/>
                <w:szCs w:val="20"/>
              </w:rPr>
            </w:pPr>
          </w:p>
          <w:p w14:paraId="79BCC294" w14:textId="77777777" w:rsidR="00E45300" w:rsidRDefault="00E45300" w:rsidP="00C66D32">
            <w:pPr>
              <w:tabs>
                <w:tab w:val="center" w:pos="4419"/>
                <w:tab w:val="right" w:pos="8838"/>
              </w:tabs>
              <w:jc w:val="center"/>
              <w:rPr>
                <w:sz w:val="20"/>
                <w:szCs w:val="20"/>
              </w:rPr>
            </w:pPr>
          </w:p>
          <w:p w14:paraId="59819503" w14:textId="77777777" w:rsidR="00E45300" w:rsidRDefault="00E45300" w:rsidP="00C66D32">
            <w:pPr>
              <w:tabs>
                <w:tab w:val="center" w:pos="4419"/>
                <w:tab w:val="right" w:pos="8838"/>
              </w:tabs>
              <w:jc w:val="center"/>
              <w:rPr>
                <w:sz w:val="20"/>
                <w:szCs w:val="20"/>
              </w:rPr>
            </w:pPr>
          </w:p>
          <w:p w14:paraId="5B3E67A2" w14:textId="77777777" w:rsidR="00E45300" w:rsidRDefault="00E45300" w:rsidP="00C66D32">
            <w:pPr>
              <w:tabs>
                <w:tab w:val="center" w:pos="4419"/>
                <w:tab w:val="right" w:pos="8838"/>
              </w:tabs>
              <w:jc w:val="center"/>
              <w:rPr>
                <w:sz w:val="20"/>
                <w:szCs w:val="20"/>
              </w:rPr>
            </w:pPr>
            <w:r>
              <w:rPr>
                <w:sz w:val="20"/>
                <w:szCs w:val="20"/>
              </w:rPr>
              <w:t>INSTITUTO DE ENSEÑANZA SUPERIOR EN</w:t>
            </w:r>
          </w:p>
          <w:p w14:paraId="041AA000" w14:textId="77777777" w:rsidR="00E45300" w:rsidRDefault="00E45300" w:rsidP="00C66D32">
            <w:pPr>
              <w:tabs>
                <w:tab w:val="center" w:pos="4419"/>
                <w:tab w:val="right" w:pos="8838"/>
              </w:tabs>
              <w:jc w:val="center"/>
              <w:rPr>
                <w:sz w:val="20"/>
                <w:szCs w:val="20"/>
              </w:rPr>
            </w:pPr>
            <w:r>
              <w:rPr>
                <w:sz w:val="20"/>
                <w:szCs w:val="20"/>
              </w:rPr>
              <w:t>LENGUAS VIVAS</w:t>
            </w:r>
          </w:p>
          <w:p w14:paraId="0C78D3EE" w14:textId="77777777" w:rsidR="00E45300" w:rsidRDefault="00E45300" w:rsidP="00C66D32">
            <w:pPr>
              <w:tabs>
                <w:tab w:val="center" w:pos="4419"/>
                <w:tab w:val="right" w:pos="8838"/>
              </w:tabs>
              <w:jc w:val="center"/>
              <w:rPr>
                <w:sz w:val="20"/>
                <w:szCs w:val="20"/>
              </w:rPr>
            </w:pPr>
            <w:r>
              <w:rPr>
                <w:sz w:val="20"/>
                <w:szCs w:val="20"/>
              </w:rPr>
              <w:t>“Juan Ramón Fernández”</w:t>
            </w:r>
          </w:p>
        </w:tc>
      </w:tr>
    </w:tbl>
    <w:p w14:paraId="14802503" w14:textId="77777777" w:rsidR="00CC5317" w:rsidRPr="006213D2" w:rsidRDefault="00CC5317" w:rsidP="00CC5317">
      <w:pPr>
        <w:jc w:val="center"/>
        <w:rPr>
          <w:b/>
        </w:rPr>
      </w:pPr>
      <w:r w:rsidRPr="006213D2">
        <w:rPr>
          <w:b/>
        </w:rPr>
        <w:t xml:space="preserve">Programa </w:t>
      </w:r>
    </w:p>
    <w:p w14:paraId="13188E34" w14:textId="77777777" w:rsidR="00CC5317" w:rsidRDefault="00CC5317" w:rsidP="00CC5317">
      <w:pPr>
        <w:jc w:val="center"/>
        <w:rPr>
          <w:b/>
        </w:rPr>
      </w:pPr>
    </w:p>
    <w:p w14:paraId="30141784" w14:textId="4618F04D" w:rsidR="00CC5317" w:rsidRDefault="00E524D4" w:rsidP="00E524D4">
      <w:pPr>
        <w:jc w:val="center"/>
        <w:rPr>
          <w:b/>
        </w:rPr>
      </w:pPr>
      <w:r>
        <w:rPr>
          <w:b/>
        </w:rPr>
        <w:t>APROXIMACIÓN A LA PRACTICA DOCENTE (PI)</w:t>
      </w:r>
    </w:p>
    <w:p w14:paraId="45C79C0E" w14:textId="0083E8B0" w:rsidR="001A368C" w:rsidRDefault="001A368C" w:rsidP="00E524D4">
      <w:pPr>
        <w:jc w:val="center"/>
        <w:rPr>
          <w:i/>
        </w:rPr>
      </w:pPr>
      <w:r>
        <w:rPr>
          <w:b/>
        </w:rPr>
        <w:t>Observación</w:t>
      </w:r>
    </w:p>
    <w:p w14:paraId="0DD6E664" w14:textId="77777777" w:rsidR="00CC5317" w:rsidRDefault="00CC5317" w:rsidP="00CC5317">
      <w:pPr>
        <w:jc w:val="center"/>
        <w:rPr>
          <w:i/>
        </w:rPr>
      </w:pPr>
    </w:p>
    <w:p w14:paraId="08515017" w14:textId="77777777" w:rsidR="00E524D4" w:rsidRDefault="00E524D4" w:rsidP="00E524D4">
      <w:r>
        <w:t>Departamento: Inglés</w:t>
      </w:r>
    </w:p>
    <w:p w14:paraId="327A39F4" w14:textId="77777777" w:rsidR="00E524D4" w:rsidRDefault="00E524D4" w:rsidP="00E524D4">
      <w:r>
        <w:t>Carrera/s: Profesorado de Inglés</w:t>
      </w:r>
    </w:p>
    <w:p w14:paraId="160E16F1" w14:textId="77777777" w:rsidR="00E524D4" w:rsidRDefault="00E524D4" w:rsidP="00E524D4">
      <w:r>
        <w:t xml:space="preserve">Trayecto o campo: Campo de Formación en la Práctica Profesional </w:t>
      </w:r>
    </w:p>
    <w:p w14:paraId="3592D219" w14:textId="77777777" w:rsidR="00E524D4" w:rsidRDefault="00E524D4" w:rsidP="00E524D4">
      <w:pPr>
        <w:jc w:val="both"/>
      </w:pPr>
      <w:r>
        <w:t>Carga horaria:  2 horas cátedra semanales</w:t>
      </w:r>
    </w:p>
    <w:p w14:paraId="5C92EBE9" w14:textId="77777777" w:rsidR="00E524D4" w:rsidRDefault="00E524D4" w:rsidP="00E524D4">
      <w:pPr>
        <w:jc w:val="both"/>
      </w:pPr>
      <w:r>
        <w:t xml:space="preserve">Régimen de cursada: cuatrimestral </w:t>
      </w:r>
    </w:p>
    <w:p w14:paraId="0B7139E4" w14:textId="77777777" w:rsidR="00E524D4" w:rsidRDefault="00E524D4" w:rsidP="00E524D4">
      <w:pPr>
        <w:jc w:val="both"/>
      </w:pPr>
      <w:r>
        <w:t>Turno: vespertino</w:t>
      </w:r>
    </w:p>
    <w:p w14:paraId="11C6970E" w14:textId="77777777" w:rsidR="00E524D4" w:rsidRDefault="00E524D4" w:rsidP="00E524D4">
      <w:pPr>
        <w:jc w:val="both"/>
      </w:pPr>
      <w:r>
        <w:t>Profesor/a:  María Florencia Di Matteo</w:t>
      </w:r>
    </w:p>
    <w:p w14:paraId="0A9DA28C" w14:textId="77777777" w:rsidR="00E524D4" w:rsidRDefault="00E524D4" w:rsidP="00E524D4">
      <w:pPr>
        <w:jc w:val="both"/>
      </w:pPr>
      <w:r>
        <w:t>Año lectivo: 2018</w:t>
      </w:r>
    </w:p>
    <w:p w14:paraId="5C7179A6" w14:textId="61D5EA36" w:rsidR="00E524D4" w:rsidRDefault="00E524D4" w:rsidP="00CC5317">
      <w:pPr>
        <w:jc w:val="both"/>
      </w:pPr>
      <w:r>
        <w:t xml:space="preserve">Correlatividades: </w:t>
      </w:r>
      <w:r w:rsidR="000C5588">
        <w:t>Pedagog</w:t>
      </w:r>
      <w:r w:rsidR="00475B26">
        <w:t>ía</w:t>
      </w:r>
      <w:bookmarkStart w:id="0" w:name="_GoBack"/>
      <w:bookmarkEnd w:id="0"/>
    </w:p>
    <w:p w14:paraId="0854B644" w14:textId="77777777" w:rsidR="00CC5317" w:rsidRDefault="00CC5317" w:rsidP="00CC5317"/>
    <w:p w14:paraId="34E103D4" w14:textId="77777777" w:rsidR="00CC5317" w:rsidRPr="00E524D4" w:rsidRDefault="00CC5317" w:rsidP="00E524D4">
      <w:pPr>
        <w:numPr>
          <w:ilvl w:val="0"/>
          <w:numId w:val="12"/>
        </w:numPr>
        <w:jc w:val="both"/>
      </w:pPr>
      <w:r>
        <w:rPr>
          <w:b/>
        </w:rPr>
        <w:t>Fundamentación</w:t>
      </w:r>
    </w:p>
    <w:p w14:paraId="375CAD8A" w14:textId="77777777" w:rsidR="00F464D8" w:rsidRDefault="00F464D8" w:rsidP="00F464D8">
      <w:pPr>
        <w:pStyle w:val="western"/>
        <w:spacing w:before="0" w:beforeAutospacing="0" w:after="0" w:line="240" w:lineRule="auto"/>
        <w:jc w:val="both"/>
      </w:pPr>
    </w:p>
    <w:p w14:paraId="797A5295" w14:textId="77777777" w:rsidR="00F464D8" w:rsidRDefault="00F464D8" w:rsidP="00F464D8">
      <w:pPr>
        <w:pStyle w:val="western"/>
        <w:spacing w:before="0" w:beforeAutospacing="0" w:after="0" w:line="240" w:lineRule="auto"/>
        <w:jc w:val="both"/>
      </w:pPr>
      <w:r>
        <w:t xml:space="preserve">Aproximación a la Práctica Docente se propone la inserción paulatina del futuro docente en el espacio de la clase de lengua-cultura extranjera (LCE). Para lograr el acercamiento gradual a la práctica educativa, el estudiante partirá de realizar actividades de indagación sobre la institución escolar, los profesores y los estudiantes y avanzará hacia la participación y realización de tareas con grados de complejidad y responsabilidad crecientes. En este recorrido formativo, se propone trabajar desde los saberes del futuro profesor que forman parte de su biografía escolar, desde las unidades curriculares propias del Campo de la Formación General y los saberes del Campo Específico. </w:t>
      </w:r>
    </w:p>
    <w:p w14:paraId="64BF1AF5" w14:textId="77777777" w:rsidR="00F464D8" w:rsidRDefault="00F464D8" w:rsidP="00F464D8">
      <w:pPr>
        <w:pStyle w:val="western"/>
        <w:spacing w:before="0" w:beforeAutospacing="0" w:after="0" w:line="240" w:lineRule="auto"/>
        <w:jc w:val="both"/>
      </w:pPr>
      <w:r>
        <w:t xml:space="preserve">Este espacio curricular corresponde al Tramo 1 (La observación pedagógica) del Campo de Formación en la Práctica Profesional y que se cursa conjuntamente con Didáctica General, del Campo de la Formación General. Debido a ello, tomará de ella específicamente, aportes de las teorías y enfoques de enseñanza, de las concepciones del campo curricular, de la programación de la enseñanza y de evaluación de los aprendizajes. </w:t>
      </w:r>
    </w:p>
    <w:p w14:paraId="127A1A86" w14:textId="77777777" w:rsidR="00F464D8" w:rsidRDefault="00F464D8" w:rsidP="00F464D8">
      <w:pPr>
        <w:pStyle w:val="western"/>
        <w:spacing w:before="0" w:beforeAutospacing="0" w:after="0" w:line="240" w:lineRule="auto"/>
        <w:jc w:val="both"/>
      </w:pPr>
      <w:r>
        <w:t xml:space="preserve">El eje en Aproximación a la Práctica Docente lo constituye el trabajo de realización y análisis de entrevistas a docentes de LCE. Este trabajo se profundiza en “Observación”, trabajo de campo que se cursa conjuntamente con Didáctica Específica del Inglés como LCE. </w:t>
      </w:r>
    </w:p>
    <w:p w14:paraId="71584145" w14:textId="77777777" w:rsidR="00F464D8" w:rsidRDefault="00F464D8" w:rsidP="00F464D8">
      <w:pPr>
        <w:pStyle w:val="western"/>
        <w:spacing w:before="0" w:beforeAutospacing="0" w:after="0" w:line="240" w:lineRule="auto"/>
        <w:jc w:val="both"/>
      </w:pPr>
      <w:r>
        <w:t>Aproximación a la Práctica Docente se cursa junto con Didáctica General</w:t>
      </w:r>
      <w:r w:rsidR="00B16F4B">
        <w:t xml:space="preserve">. </w:t>
      </w:r>
      <w:r>
        <w:t xml:space="preserve"> </w:t>
      </w:r>
    </w:p>
    <w:p w14:paraId="61CCF5EA" w14:textId="77777777" w:rsidR="00CC5317" w:rsidRDefault="00CC5317" w:rsidP="00CC5317">
      <w:pPr>
        <w:ind w:left="360"/>
        <w:jc w:val="both"/>
      </w:pPr>
    </w:p>
    <w:p w14:paraId="0F0309F9" w14:textId="77777777" w:rsidR="00CC5317" w:rsidRDefault="00CC5317" w:rsidP="00E524D4">
      <w:pPr>
        <w:numPr>
          <w:ilvl w:val="0"/>
          <w:numId w:val="12"/>
        </w:numPr>
        <w:jc w:val="both"/>
      </w:pPr>
      <w:r>
        <w:rPr>
          <w:b/>
        </w:rPr>
        <w:t>Objetivos generales</w:t>
      </w:r>
    </w:p>
    <w:p w14:paraId="02A24185" w14:textId="77777777" w:rsidR="00B16F4B" w:rsidRDefault="00B16F4B" w:rsidP="00B16F4B">
      <w:pPr>
        <w:pStyle w:val="western"/>
        <w:spacing w:before="0" w:beforeAutospacing="0" w:after="0" w:line="240" w:lineRule="auto"/>
      </w:pPr>
    </w:p>
    <w:p w14:paraId="25B8374D" w14:textId="77777777" w:rsidR="00B16F4B" w:rsidRPr="00B16F4B" w:rsidRDefault="00B16F4B" w:rsidP="00DD29AC">
      <w:pPr>
        <w:pStyle w:val="western"/>
        <w:spacing w:before="0" w:beforeAutospacing="0" w:after="0" w:line="240" w:lineRule="auto"/>
        <w:jc w:val="both"/>
      </w:pPr>
      <w:r w:rsidRPr="00B16F4B">
        <w:t>Se espera que el/la futuro/a profesor/a:</w:t>
      </w:r>
    </w:p>
    <w:p w14:paraId="272E505B" w14:textId="77777777" w:rsidR="00B16F4B" w:rsidRPr="00E45300" w:rsidRDefault="00B16F4B" w:rsidP="00DD29AC">
      <w:pPr>
        <w:pStyle w:val="Default"/>
        <w:numPr>
          <w:ilvl w:val="0"/>
          <w:numId w:val="13"/>
        </w:numPr>
        <w:jc w:val="both"/>
        <w:rPr>
          <w:rFonts w:ascii="Times New Roman" w:hAnsi="Times New Roman" w:cs="Times New Roman"/>
        </w:rPr>
      </w:pPr>
      <w:r w:rsidRPr="00E45300">
        <w:rPr>
          <w:rFonts w:ascii="Times New Roman" w:hAnsi="Times New Roman" w:cs="Times New Roman"/>
        </w:rPr>
        <w:t xml:space="preserve">Construya criterios de elaboración de algunos instrumentos de investigación educativa en general, y los referidos a la preparación de entrevistas en particular. </w:t>
      </w:r>
    </w:p>
    <w:p w14:paraId="36CD7333" w14:textId="77777777" w:rsidR="00B16F4B" w:rsidRPr="00E45300" w:rsidRDefault="00B16F4B" w:rsidP="00DD29AC">
      <w:pPr>
        <w:pStyle w:val="Default"/>
        <w:numPr>
          <w:ilvl w:val="0"/>
          <w:numId w:val="13"/>
        </w:numPr>
        <w:jc w:val="both"/>
        <w:rPr>
          <w:rFonts w:ascii="Times New Roman" w:hAnsi="Times New Roman" w:cs="Times New Roman"/>
        </w:rPr>
      </w:pPr>
      <w:r w:rsidRPr="00E45300">
        <w:rPr>
          <w:rFonts w:ascii="Times New Roman" w:hAnsi="Times New Roman" w:cs="Times New Roman"/>
        </w:rPr>
        <w:lastRenderedPageBreak/>
        <w:t xml:space="preserve">Se aproxime al campo profesional a partir de la aplicación de entrevistas a docentes en ejercicio para realizar un análisis basado en las categorías que surjan de la materia “Didáctica General”. </w:t>
      </w:r>
    </w:p>
    <w:p w14:paraId="02C93197" w14:textId="77777777" w:rsidR="00B16F4B" w:rsidRPr="00E45300" w:rsidRDefault="00B16F4B" w:rsidP="00DD29AC">
      <w:pPr>
        <w:pStyle w:val="Default"/>
        <w:numPr>
          <w:ilvl w:val="0"/>
          <w:numId w:val="13"/>
        </w:numPr>
        <w:jc w:val="both"/>
        <w:rPr>
          <w:rFonts w:ascii="Times New Roman" w:hAnsi="Times New Roman" w:cs="Times New Roman"/>
        </w:rPr>
      </w:pPr>
      <w:r w:rsidRPr="00E45300">
        <w:rPr>
          <w:rFonts w:ascii="Times New Roman" w:hAnsi="Times New Roman" w:cs="Times New Roman"/>
        </w:rPr>
        <w:t xml:space="preserve">Aplique categorías de análisis de las entrevistas realizadas con vistas a propiciar una aproximación del futuro profesor al campo de la práctica profesional. </w:t>
      </w:r>
    </w:p>
    <w:p w14:paraId="7B801AF6" w14:textId="77777777" w:rsidR="00B16F4B" w:rsidRDefault="00B16F4B" w:rsidP="00B16F4B">
      <w:pPr>
        <w:jc w:val="both"/>
      </w:pPr>
    </w:p>
    <w:p w14:paraId="7C97368B" w14:textId="77777777" w:rsidR="00DD29AC" w:rsidRPr="00B16F4B" w:rsidRDefault="00DD29AC" w:rsidP="00B16F4B">
      <w:pPr>
        <w:jc w:val="both"/>
      </w:pPr>
    </w:p>
    <w:p w14:paraId="501467E8" w14:textId="77777777" w:rsidR="00CC5317" w:rsidRPr="00B16F4B" w:rsidRDefault="00CC5317" w:rsidP="00E524D4">
      <w:pPr>
        <w:numPr>
          <w:ilvl w:val="0"/>
          <w:numId w:val="12"/>
        </w:numPr>
        <w:jc w:val="both"/>
      </w:pPr>
      <w:r>
        <w:rPr>
          <w:b/>
        </w:rPr>
        <w:t xml:space="preserve">Objetivos específicos </w:t>
      </w:r>
    </w:p>
    <w:p w14:paraId="39E32166" w14:textId="77777777" w:rsidR="00E45300" w:rsidRDefault="00E45300" w:rsidP="00E45300">
      <w:pPr>
        <w:pStyle w:val="western"/>
        <w:spacing w:before="0" w:beforeAutospacing="0" w:after="0" w:line="240" w:lineRule="auto"/>
      </w:pPr>
    </w:p>
    <w:p w14:paraId="59851208" w14:textId="77777777" w:rsidR="00E45300" w:rsidRDefault="00E45300" w:rsidP="00E45300">
      <w:pPr>
        <w:pStyle w:val="western"/>
        <w:spacing w:before="0" w:beforeAutospacing="0" w:after="0" w:line="240" w:lineRule="auto"/>
      </w:pPr>
      <w:r>
        <w:t>Se espera que el/la futuro/a profesor/a:</w:t>
      </w:r>
    </w:p>
    <w:p w14:paraId="61119DC9" w14:textId="77777777" w:rsidR="00E45300" w:rsidRDefault="00E45300" w:rsidP="00E45300">
      <w:pPr>
        <w:pStyle w:val="western"/>
        <w:numPr>
          <w:ilvl w:val="0"/>
          <w:numId w:val="14"/>
        </w:numPr>
        <w:spacing w:before="0" w:beforeAutospacing="0" w:after="0" w:line="240" w:lineRule="auto"/>
      </w:pPr>
      <w:r>
        <w:t>Construya criterios de elaboración de algunos instrumentos de investigación educativa en general, y los referidos a la preparación de entrevistas en particular.</w:t>
      </w:r>
    </w:p>
    <w:p w14:paraId="7BDF22E6" w14:textId="77777777" w:rsidR="00E45300" w:rsidRDefault="00E45300" w:rsidP="00E45300">
      <w:pPr>
        <w:pStyle w:val="western"/>
        <w:numPr>
          <w:ilvl w:val="0"/>
          <w:numId w:val="15"/>
        </w:numPr>
        <w:spacing w:before="0" w:beforeAutospacing="0" w:after="0" w:line="240" w:lineRule="auto"/>
      </w:pPr>
      <w:r>
        <w:t>Se aproxime al campo profesional a partir de la aplicación de entrevistas a docentes en ejercicio para realizar un análisis basado en las categorías que surjan de la materia “Didáctica General”.</w:t>
      </w:r>
    </w:p>
    <w:p w14:paraId="3A4ACD90" w14:textId="77777777" w:rsidR="00E45300" w:rsidRDefault="00E45300" w:rsidP="00E45300">
      <w:pPr>
        <w:pStyle w:val="western"/>
        <w:numPr>
          <w:ilvl w:val="0"/>
          <w:numId w:val="15"/>
        </w:numPr>
        <w:spacing w:before="0" w:beforeAutospacing="0" w:after="0" w:line="240" w:lineRule="auto"/>
      </w:pPr>
      <w:r>
        <w:t>Aplique categorías de análisis de las entrevistas realizadas con vistas a propiciar una aproximación del futuro profesor al campo de la práctica profesional.</w:t>
      </w:r>
    </w:p>
    <w:p w14:paraId="62BCD877" w14:textId="77777777" w:rsidR="00B16F4B" w:rsidRDefault="00B16F4B" w:rsidP="00B16F4B">
      <w:pPr>
        <w:jc w:val="both"/>
      </w:pPr>
    </w:p>
    <w:p w14:paraId="01C92E31" w14:textId="77777777" w:rsidR="00CC5317" w:rsidRPr="00E45300" w:rsidRDefault="00CC5317" w:rsidP="00E524D4">
      <w:pPr>
        <w:numPr>
          <w:ilvl w:val="0"/>
          <w:numId w:val="12"/>
        </w:numPr>
        <w:jc w:val="both"/>
      </w:pPr>
      <w:r>
        <w:rPr>
          <w:b/>
        </w:rPr>
        <w:t xml:space="preserve">Contenidos mínimos </w:t>
      </w:r>
    </w:p>
    <w:p w14:paraId="1DFDC2ED" w14:textId="77777777" w:rsidR="00E45300" w:rsidRDefault="00E45300" w:rsidP="00E45300">
      <w:pPr>
        <w:jc w:val="both"/>
      </w:pPr>
    </w:p>
    <w:p w14:paraId="2B2BCFA0" w14:textId="77777777" w:rsidR="0081726B" w:rsidRDefault="0081726B" w:rsidP="0081726B">
      <w:pPr>
        <w:pStyle w:val="NormalWeb"/>
        <w:spacing w:before="0" w:beforeAutospacing="0" w:after="0" w:line="240" w:lineRule="auto"/>
      </w:pPr>
      <w:r>
        <w:rPr>
          <w:b/>
          <w:bCs/>
        </w:rPr>
        <w:t>El trayecto de formación</w:t>
      </w:r>
      <w:r>
        <w:t xml:space="preserve">: reconstrucción de experiencias de escolarización. Fases y ámbitos de la formación docente. La construcción de la identidad docente. Modelos y tradiciones de formación de docentes. Matrices de aprendizaje. Las narrativas que sustentan la construcción de las identidades docentes. Relatos y autobiografía. </w:t>
      </w:r>
    </w:p>
    <w:p w14:paraId="4AC8E938" w14:textId="77777777" w:rsidR="0081726B" w:rsidRDefault="0081726B" w:rsidP="0081726B">
      <w:pPr>
        <w:pStyle w:val="NormalWeb"/>
        <w:spacing w:before="0" w:beforeAutospacing="0" w:after="0" w:line="240" w:lineRule="auto"/>
      </w:pPr>
      <w:r>
        <w:rPr>
          <w:b/>
          <w:bCs/>
        </w:rPr>
        <w:t>Las prácticas docentes en contextos institucionales</w:t>
      </w:r>
      <w:r>
        <w:t xml:space="preserve">: Las prácticas docentes: alcances, características, dimensiones. </w:t>
      </w:r>
    </w:p>
    <w:p w14:paraId="18A7D6BF" w14:textId="77777777" w:rsidR="0081726B" w:rsidRDefault="0081726B" w:rsidP="0081726B">
      <w:pPr>
        <w:pStyle w:val="NormalWeb"/>
        <w:spacing w:before="0" w:beforeAutospacing="0" w:after="0" w:line="240" w:lineRule="auto"/>
      </w:pPr>
      <w:r>
        <w:rPr>
          <w:b/>
          <w:bCs/>
        </w:rPr>
        <w:t>Perspectivas y enfoques metodológicos</w:t>
      </w:r>
      <w:r>
        <w:t xml:space="preserve">: Instrumentos para la recolección de datos. Técnicas y procedimientos de análisis e interpretación de datos. Registros: la observación, la entrevista, la encuesta, cuestionario, análisis de documentos; su comunicabilidad. Fuentes primarias y secundarias de información. Producción de informes. </w:t>
      </w:r>
    </w:p>
    <w:p w14:paraId="79E62936" w14:textId="77777777" w:rsidR="0081726B" w:rsidRDefault="0081726B" w:rsidP="0081726B">
      <w:pPr>
        <w:pStyle w:val="NormalWeb"/>
        <w:spacing w:before="0" w:beforeAutospacing="0" w:after="0" w:line="240" w:lineRule="auto"/>
      </w:pPr>
      <w:r>
        <w:rPr>
          <w:b/>
          <w:bCs/>
        </w:rPr>
        <w:t>El cuestionario</w:t>
      </w:r>
      <w:r>
        <w:t xml:space="preserve">: Características del cuestionario. La entrevista. Características de la entrevista. Práctica de entrevista y transcripción. </w:t>
      </w:r>
    </w:p>
    <w:p w14:paraId="0DC7F5EE" w14:textId="77777777" w:rsidR="0081726B" w:rsidRDefault="0081726B" w:rsidP="0081726B">
      <w:pPr>
        <w:pStyle w:val="NormalWeb"/>
        <w:spacing w:before="0" w:beforeAutospacing="0" w:after="0" w:line="240" w:lineRule="auto"/>
      </w:pPr>
      <w:r>
        <w:rPr>
          <w:b/>
          <w:bCs/>
        </w:rPr>
        <w:t>Análisis e interpretación de la información</w:t>
      </w:r>
      <w:r>
        <w:t xml:space="preserve">: Exploración sobre el proceso de enseñanza y aprendizaje de la LCE. Reflexión sobre el papel político del docente de LCE en defensa de los derechos e identidades lingüístico- culturales. Reflexión sobre la clase de LCE y el ejercicio de la ciudadanía. </w:t>
      </w:r>
    </w:p>
    <w:p w14:paraId="4B3261EF" w14:textId="77777777" w:rsidR="00E45300" w:rsidRDefault="00E45300" w:rsidP="00E45300">
      <w:pPr>
        <w:jc w:val="both"/>
      </w:pPr>
    </w:p>
    <w:p w14:paraId="66E3E9AF" w14:textId="77777777" w:rsidR="00A52577" w:rsidRDefault="00A52577" w:rsidP="00E45300">
      <w:pPr>
        <w:jc w:val="both"/>
      </w:pPr>
    </w:p>
    <w:p w14:paraId="5088D2F0" w14:textId="77777777" w:rsidR="00CC5317" w:rsidRPr="0081726B" w:rsidRDefault="00CC5317" w:rsidP="00E524D4">
      <w:pPr>
        <w:numPr>
          <w:ilvl w:val="0"/>
          <w:numId w:val="12"/>
        </w:numPr>
        <w:jc w:val="both"/>
      </w:pPr>
      <w:r>
        <w:rPr>
          <w:b/>
        </w:rPr>
        <w:t>Contenidos: organización y secuenciación</w:t>
      </w:r>
      <w:r>
        <w:rPr>
          <w:b/>
          <w:i/>
        </w:rPr>
        <w:t xml:space="preserve"> </w:t>
      </w:r>
    </w:p>
    <w:p w14:paraId="2C111E66" w14:textId="77777777" w:rsidR="0081726B" w:rsidRDefault="0081726B" w:rsidP="0081726B">
      <w:pPr>
        <w:jc w:val="both"/>
      </w:pPr>
    </w:p>
    <w:p w14:paraId="27C80766" w14:textId="77777777" w:rsidR="00A52577" w:rsidRDefault="00A52577" w:rsidP="00A52577">
      <w:pPr>
        <w:pStyle w:val="western"/>
        <w:spacing w:before="0" w:beforeAutospacing="0" w:after="0" w:line="240" w:lineRule="auto"/>
        <w:jc w:val="both"/>
      </w:pPr>
      <w:r>
        <w:rPr>
          <w:b/>
          <w:bCs/>
        </w:rPr>
        <w:t xml:space="preserve">Unidad 1: El trayecto de formación. </w:t>
      </w:r>
      <w:r>
        <w:t>Reconstrucción de experiencias de escolarización. Fases y ámbitos de la formación docente. La construcción de la identidad docente. Modelos y tradiciones de formación de docentes. Matrices de aprendizaje. Las narrativas que sustentan la construcción de las identidades docentes. Relatos y autobiografía.</w:t>
      </w:r>
    </w:p>
    <w:p w14:paraId="3FD08D73" w14:textId="77777777" w:rsidR="00A52577" w:rsidRDefault="00A52577" w:rsidP="00A52577">
      <w:pPr>
        <w:pStyle w:val="western"/>
        <w:spacing w:before="0" w:beforeAutospacing="0" w:after="0" w:line="240" w:lineRule="auto"/>
        <w:jc w:val="both"/>
        <w:rPr>
          <w:b/>
          <w:bCs/>
        </w:rPr>
      </w:pPr>
    </w:p>
    <w:p w14:paraId="3ECF53DD" w14:textId="77777777" w:rsidR="00A52577" w:rsidRDefault="00A52577" w:rsidP="00A52577">
      <w:pPr>
        <w:pStyle w:val="western"/>
        <w:spacing w:before="0" w:beforeAutospacing="0" w:after="0" w:line="240" w:lineRule="auto"/>
        <w:jc w:val="both"/>
      </w:pPr>
      <w:r>
        <w:rPr>
          <w:b/>
          <w:bCs/>
        </w:rPr>
        <w:t>Unidad 2: Las prácticas docentes en contextos institucionales</w:t>
      </w:r>
      <w:r>
        <w:t>. Las prácticas docentes: alcances, características, dimensiones.</w:t>
      </w:r>
    </w:p>
    <w:p w14:paraId="32D10C05" w14:textId="77777777" w:rsidR="00A52577" w:rsidRDefault="00A52577" w:rsidP="00A52577">
      <w:pPr>
        <w:pStyle w:val="western"/>
        <w:spacing w:before="0" w:beforeAutospacing="0" w:after="0" w:line="240" w:lineRule="auto"/>
        <w:jc w:val="both"/>
        <w:rPr>
          <w:b/>
          <w:bCs/>
        </w:rPr>
      </w:pPr>
    </w:p>
    <w:p w14:paraId="18C6E147" w14:textId="77777777" w:rsidR="00A52577" w:rsidRDefault="00A52577" w:rsidP="00A52577">
      <w:pPr>
        <w:pStyle w:val="western"/>
        <w:spacing w:before="0" w:beforeAutospacing="0" w:after="0" w:line="240" w:lineRule="auto"/>
        <w:jc w:val="both"/>
      </w:pPr>
      <w:r>
        <w:rPr>
          <w:b/>
          <w:bCs/>
        </w:rPr>
        <w:t xml:space="preserve">Unidad 3: Perspectivas y enfoques metodológicos. </w:t>
      </w:r>
      <w:r>
        <w:t xml:space="preserve">La metodología de la investigación científica y la investigación educativa. </w:t>
      </w:r>
    </w:p>
    <w:p w14:paraId="20BD22E2" w14:textId="77777777" w:rsidR="00A52577" w:rsidRDefault="00A52577" w:rsidP="00A52577">
      <w:pPr>
        <w:pStyle w:val="western"/>
        <w:spacing w:before="0" w:beforeAutospacing="0" w:after="0" w:line="240" w:lineRule="auto"/>
        <w:jc w:val="both"/>
        <w:rPr>
          <w:b/>
          <w:bCs/>
        </w:rPr>
      </w:pPr>
    </w:p>
    <w:p w14:paraId="12EFF386" w14:textId="77777777" w:rsidR="00A52577" w:rsidRDefault="00A52577" w:rsidP="00A52577">
      <w:pPr>
        <w:pStyle w:val="western"/>
        <w:spacing w:before="0" w:beforeAutospacing="0" w:after="0" w:line="240" w:lineRule="auto"/>
        <w:jc w:val="both"/>
      </w:pPr>
      <w:r>
        <w:rPr>
          <w:b/>
          <w:bCs/>
        </w:rPr>
        <w:lastRenderedPageBreak/>
        <w:t>Unidad 4: La entrada al campo. Registros e instrumentos para la recolección de datos</w:t>
      </w:r>
      <w:r>
        <w:t xml:space="preserve">. Selección de escenarios y acceso a organizaciones. Fuentes primarias y secundarias de información. La observación. La encuesta. El cuestionario. La entrevista y la transcripción. </w:t>
      </w:r>
    </w:p>
    <w:p w14:paraId="1A5E10BB" w14:textId="77777777" w:rsidR="00A52577" w:rsidRDefault="00A52577" w:rsidP="00A52577">
      <w:pPr>
        <w:pStyle w:val="western"/>
        <w:spacing w:before="0" w:beforeAutospacing="0" w:after="0" w:line="240" w:lineRule="auto"/>
        <w:jc w:val="both"/>
        <w:rPr>
          <w:b/>
          <w:bCs/>
        </w:rPr>
      </w:pPr>
    </w:p>
    <w:p w14:paraId="25B4A07D" w14:textId="77777777" w:rsidR="00A52577" w:rsidRDefault="00A52577" w:rsidP="00A52577">
      <w:pPr>
        <w:pStyle w:val="western"/>
        <w:spacing w:before="0" w:beforeAutospacing="0" w:after="0" w:line="240" w:lineRule="auto"/>
        <w:jc w:val="both"/>
      </w:pPr>
      <w:r>
        <w:rPr>
          <w:b/>
          <w:bCs/>
        </w:rPr>
        <w:t>Unidad 5: Análisis e interpretación de la información.</w:t>
      </w:r>
      <w:r>
        <w:t xml:space="preserve"> Técnicas y procedimientos de análisis e interpretación de datos. Análisis de documentos; su comunicabilidad. Producción de informes.</w:t>
      </w:r>
    </w:p>
    <w:p w14:paraId="1D7DAAFD" w14:textId="77777777" w:rsidR="0081726B" w:rsidRDefault="0081726B" w:rsidP="00A52577">
      <w:pPr>
        <w:jc w:val="both"/>
      </w:pPr>
    </w:p>
    <w:p w14:paraId="79155BA3" w14:textId="77777777" w:rsidR="00CC5317" w:rsidRDefault="00CC5317" w:rsidP="00CC5317">
      <w:pPr>
        <w:ind w:left="360"/>
        <w:jc w:val="both"/>
      </w:pPr>
    </w:p>
    <w:p w14:paraId="4369711A" w14:textId="77777777" w:rsidR="00CC5317" w:rsidRDefault="00CC5317" w:rsidP="00E524D4">
      <w:pPr>
        <w:numPr>
          <w:ilvl w:val="0"/>
          <w:numId w:val="12"/>
        </w:numPr>
        <w:jc w:val="both"/>
      </w:pPr>
      <w:r>
        <w:rPr>
          <w:b/>
        </w:rPr>
        <w:t>Modo de abordaje de los contenidos y tipos de actividades</w:t>
      </w:r>
    </w:p>
    <w:p w14:paraId="3F24DA12" w14:textId="77777777" w:rsidR="00CC5317" w:rsidRDefault="00CC5317" w:rsidP="00CC5317">
      <w:pPr>
        <w:jc w:val="both"/>
      </w:pPr>
    </w:p>
    <w:p w14:paraId="03CEC666" w14:textId="77777777" w:rsidR="00A52577" w:rsidRDefault="00A52577" w:rsidP="00A52577">
      <w:pPr>
        <w:pStyle w:val="western"/>
        <w:spacing w:before="0" w:beforeAutospacing="0" w:after="0" w:line="240" w:lineRule="auto"/>
        <w:jc w:val="both"/>
      </w:pPr>
      <w:r>
        <w:t>Aproximación a la Práctica Docente se desarrollará de manera virtual y presentará las siguientes estrategias y actividades.</w:t>
      </w:r>
    </w:p>
    <w:p w14:paraId="2E9DF313" w14:textId="77777777" w:rsidR="00DD29AC" w:rsidRDefault="00DD29AC" w:rsidP="00A52577">
      <w:pPr>
        <w:pStyle w:val="western"/>
        <w:spacing w:before="0" w:beforeAutospacing="0" w:after="0" w:line="240" w:lineRule="auto"/>
        <w:jc w:val="both"/>
      </w:pPr>
    </w:p>
    <w:p w14:paraId="7C82E655" w14:textId="77777777" w:rsidR="00A52577" w:rsidRDefault="00A52577" w:rsidP="00A52577">
      <w:pPr>
        <w:pStyle w:val="western"/>
        <w:numPr>
          <w:ilvl w:val="0"/>
          <w:numId w:val="16"/>
        </w:numPr>
        <w:spacing w:before="0" w:beforeAutospacing="0" w:after="0" w:line="240" w:lineRule="auto"/>
        <w:jc w:val="both"/>
      </w:pPr>
      <w:r>
        <w:t xml:space="preserve">Presentación de los </w:t>
      </w:r>
      <w:r>
        <w:rPr>
          <w:lang w:val="es-ES"/>
        </w:rPr>
        <w:t>principales núcleos y problemas teóricos metodológicos.</w:t>
      </w:r>
    </w:p>
    <w:p w14:paraId="44CB4131" w14:textId="77777777" w:rsidR="00A52577" w:rsidRDefault="00A52577" w:rsidP="00A52577">
      <w:pPr>
        <w:pStyle w:val="western"/>
        <w:numPr>
          <w:ilvl w:val="0"/>
          <w:numId w:val="16"/>
        </w:numPr>
        <w:spacing w:before="0" w:beforeAutospacing="0" w:after="0" w:line="240" w:lineRule="auto"/>
        <w:jc w:val="both"/>
      </w:pPr>
      <w:r>
        <w:t>Elaboración y análisis de autobiografías individuales sobre la enseñanza y la formación.</w:t>
      </w:r>
    </w:p>
    <w:p w14:paraId="4490C772" w14:textId="77777777" w:rsidR="00A52577" w:rsidRDefault="00A52577" w:rsidP="00A52577">
      <w:pPr>
        <w:pStyle w:val="western"/>
        <w:numPr>
          <w:ilvl w:val="0"/>
          <w:numId w:val="16"/>
        </w:numPr>
        <w:spacing w:before="0" w:beforeAutospacing="0" w:after="0" w:line="240" w:lineRule="auto"/>
        <w:jc w:val="both"/>
      </w:pPr>
      <w:r>
        <w:t>Realización de Trabajo de campo. Incluye la selección de una institución educativa para realizar el trabajo, la entrada institucional, la recolección de documentación curricular –diseño curricular, programación- y otros materiales de enseñanza, la elaboración de un guión de entrevista y su realización a un profesor de LCE. Luego, se requiere el análisis de los materiales recogidos (la entrevista al docente, el diseño curricular referido a la asignatura/ materia a cargo de ese docente, su programación y otras documentaciones) en base a ejes dados.</w:t>
      </w:r>
    </w:p>
    <w:p w14:paraId="014047AB" w14:textId="77777777" w:rsidR="00A52577" w:rsidRDefault="00A32322" w:rsidP="00DD29AC">
      <w:pPr>
        <w:pStyle w:val="western"/>
        <w:spacing w:before="0" w:beforeAutospacing="0" w:after="0" w:line="240" w:lineRule="auto"/>
        <w:jc w:val="both"/>
      </w:pPr>
      <w:r>
        <w:t>Son p</w:t>
      </w:r>
      <w:r w:rsidR="00A52577">
        <w:t>osibles ejes de análisis de la entrevista:</w:t>
      </w:r>
    </w:p>
    <w:p w14:paraId="1A0A2A23" w14:textId="77777777" w:rsidR="00A52577" w:rsidRDefault="00A52577" w:rsidP="00A52577">
      <w:pPr>
        <w:pStyle w:val="western"/>
        <w:numPr>
          <w:ilvl w:val="1"/>
          <w:numId w:val="17"/>
        </w:numPr>
        <w:spacing w:before="0" w:beforeAutospacing="0" w:after="0" w:line="240" w:lineRule="auto"/>
        <w:jc w:val="both"/>
      </w:pPr>
      <w:r>
        <w:t xml:space="preserve">Concepciones sobre la enseñanza, el aprendizaje y la relación entre ambos. Exploración sobre el proceso de enseñanza y aprendizaje de la LCE. </w:t>
      </w:r>
    </w:p>
    <w:p w14:paraId="12FF5158" w14:textId="77777777" w:rsidR="00A52577" w:rsidRDefault="00A52577" w:rsidP="00A52577">
      <w:pPr>
        <w:pStyle w:val="western"/>
        <w:numPr>
          <w:ilvl w:val="1"/>
          <w:numId w:val="17"/>
        </w:numPr>
        <w:spacing w:before="0" w:beforeAutospacing="0" w:after="0" w:line="240" w:lineRule="auto"/>
        <w:jc w:val="both"/>
      </w:pPr>
      <w:r>
        <w:t>Concepción sobre los aportes de la didáctica a la tarea docente.</w:t>
      </w:r>
    </w:p>
    <w:p w14:paraId="67E046AA" w14:textId="77777777" w:rsidR="00A52577" w:rsidRDefault="00A52577" w:rsidP="00A52577">
      <w:pPr>
        <w:pStyle w:val="western"/>
        <w:numPr>
          <w:ilvl w:val="1"/>
          <w:numId w:val="17"/>
        </w:numPr>
        <w:spacing w:before="0" w:beforeAutospacing="0" w:after="0" w:line="240" w:lineRule="auto"/>
        <w:jc w:val="both"/>
      </w:pPr>
      <w:r>
        <w:t xml:space="preserve">Reflexión sobre el papel político del docente de LCE en defensa de los derechos e identidades lingüístico-culturales. </w:t>
      </w:r>
    </w:p>
    <w:p w14:paraId="2203D7F7" w14:textId="77777777" w:rsidR="00A52577" w:rsidRDefault="00A52577" w:rsidP="00A52577">
      <w:pPr>
        <w:pStyle w:val="western"/>
        <w:numPr>
          <w:ilvl w:val="1"/>
          <w:numId w:val="17"/>
        </w:numPr>
        <w:spacing w:before="0" w:beforeAutospacing="0" w:after="0" w:line="240" w:lineRule="auto"/>
        <w:jc w:val="both"/>
      </w:pPr>
      <w:r>
        <w:t>Lugar que ocupa el diseño curricular en sus prácticas de enseñanza.</w:t>
      </w:r>
    </w:p>
    <w:p w14:paraId="0880E59E" w14:textId="77777777" w:rsidR="00A52577" w:rsidRDefault="00A52577" w:rsidP="00A52577">
      <w:pPr>
        <w:pStyle w:val="western"/>
        <w:numPr>
          <w:ilvl w:val="1"/>
          <w:numId w:val="17"/>
        </w:numPr>
        <w:spacing w:before="0" w:beforeAutospacing="0" w:after="0" w:line="240" w:lineRule="auto"/>
        <w:jc w:val="both"/>
      </w:pPr>
      <w:r>
        <w:t xml:space="preserve">Concepción de la planificación y grados de autonomía respecto de la institución. </w:t>
      </w:r>
    </w:p>
    <w:p w14:paraId="53F58B6E" w14:textId="77777777" w:rsidR="00A52577" w:rsidRDefault="00A52577" w:rsidP="00A52577">
      <w:pPr>
        <w:pStyle w:val="western"/>
        <w:numPr>
          <w:ilvl w:val="1"/>
          <w:numId w:val="17"/>
        </w:numPr>
        <w:spacing w:before="0" w:beforeAutospacing="0" w:after="0" w:line="240" w:lineRule="auto"/>
        <w:jc w:val="both"/>
      </w:pPr>
      <w:r>
        <w:t>Concepción sobre prácticas y uso de instrumentos y técnicas de evaluación.</w:t>
      </w:r>
    </w:p>
    <w:p w14:paraId="0DF2DB2C" w14:textId="77777777" w:rsidR="00A52577" w:rsidRDefault="00A32322" w:rsidP="00DD29AC">
      <w:pPr>
        <w:pStyle w:val="western"/>
        <w:spacing w:before="0" w:beforeAutospacing="0" w:after="0" w:line="240" w:lineRule="auto"/>
        <w:jc w:val="both"/>
      </w:pPr>
      <w:r>
        <w:t>Son p</w:t>
      </w:r>
      <w:r w:rsidR="00A52577">
        <w:t>osibles ejes de análisis del diseño curricular y las programaciones</w:t>
      </w:r>
    </w:p>
    <w:p w14:paraId="38CEE327" w14:textId="77777777" w:rsidR="00A52577" w:rsidRDefault="00A52577" w:rsidP="00A52577">
      <w:pPr>
        <w:pStyle w:val="western"/>
        <w:numPr>
          <w:ilvl w:val="0"/>
          <w:numId w:val="18"/>
        </w:numPr>
        <w:spacing w:before="0" w:beforeAutospacing="0" w:after="0" w:line="240" w:lineRule="auto"/>
        <w:jc w:val="both"/>
      </w:pPr>
      <w:r>
        <w:t xml:space="preserve">Estructura y componentes. </w:t>
      </w:r>
    </w:p>
    <w:p w14:paraId="73ED2389" w14:textId="77777777" w:rsidR="00A52577" w:rsidRDefault="00A52577" w:rsidP="00A52577">
      <w:pPr>
        <w:pStyle w:val="western"/>
        <w:numPr>
          <w:ilvl w:val="0"/>
          <w:numId w:val="18"/>
        </w:numPr>
        <w:spacing w:before="0" w:beforeAutospacing="0" w:after="0" w:line="240" w:lineRule="auto"/>
        <w:jc w:val="both"/>
      </w:pPr>
      <w:r>
        <w:t xml:space="preserve">Concepción sobre enseñanza, el aprendizaje y la relación entre ambos en lo referidos a la LCE. </w:t>
      </w:r>
    </w:p>
    <w:p w14:paraId="6B792CD6" w14:textId="77777777" w:rsidR="00A52577" w:rsidRDefault="00A52577" w:rsidP="00A52577">
      <w:pPr>
        <w:pStyle w:val="western"/>
        <w:numPr>
          <w:ilvl w:val="0"/>
          <w:numId w:val="18"/>
        </w:numPr>
        <w:spacing w:before="0" w:beforeAutospacing="0" w:after="0" w:line="240" w:lineRule="auto"/>
        <w:jc w:val="both"/>
      </w:pPr>
      <w:r>
        <w:t>Grado de prescripción del diseño curricular sobre la práctica de enseñanza.</w:t>
      </w:r>
    </w:p>
    <w:p w14:paraId="22BA0781" w14:textId="77777777" w:rsidR="00A52577" w:rsidRDefault="00A52577" w:rsidP="00A52577">
      <w:pPr>
        <w:pStyle w:val="western"/>
        <w:numPr>
          <w:ilvl w:val="0"/>
          <w:numId w:val="18"/>
        </w:numPr>
        <w:spacing w:before="0" w:beforeAutospacing="0" w:after="0" w:line="240" w:lineRule="auto"/>
        <w:jc w:val="both"/>
      </w:pPr>
      <w:r>
        <w:t>Componentes y coherencia interna de la programación de enseñanza y su relación con el diseño curricular.</w:t>
      </w:r>
    </w:p>
    <w:p w14:paraId="55BE99C8" w14:textId="77777777" w:rsidR="00A52577" w:rsidRDefault="00A52577" w:rsidP="00A52577">
      <w:pPr>
        <w:pStyle w:val="western"/>
        <w:spacing w:before="0" w:beforeAutospacing="0" w:after="0" w:line="240" w:lineRule="auto"/>
        <w:ind w:left="1066"/>
        <w:jc w:val="both"/>
      </w:pPr>
    </w:p>
    <w:p w14:paraId="0C1E7729" w14:textId="77777777" w:rsidR="00A52577" w:rsidRDefault="00DD29AC" w:rsidP="00A52577">
      <w:pPr>
        <w:pStyle w:val="western"/>
        <w:spacing w:before="0" w:beforeAutospacing="0" w:after="0" w:line="240" w:lineRule="auto"/>
        <w:jc w:val="both"/>
      </w:pPr>
      <w:r>
        <w:t xml:space="preserve">Se </w:t>
      </w:r>
      <w:r w:rsidR="00A52577">
        <w:t xml:space="preserve">analizará cada fuente por separado y luego elaborar un informe integrador. </w:t>
      </w:r>
    </w:p>
    <w:p w14:paraId="07CE09C9" w14:textId="77777777" w:rsidR="00A52577" w:rsidRDefault="00A52577" w:rsidP="00CC5317">
      <w:pPr>
        <w:jc w:val="both"/>
      </w:pPr>
    </w:p>
    <w:p w14:paraId="065A05BE" w14:textId="77777777" w:rsidR="00A32322" w:rsidRDefault="00A32322" w:rsidP="00CC5317">
      <w:pPr>
        <w:jc w:val="both"/>
      </w:pPr>
    </w:p>
    <w:p w14:paraId="469AF375" w14:textId="77777777" w:rsidR="00CC5317" w:rsidRPr="00A52577" w:rsidRDefault="00CC5317" w:rsidP="00E524D4">
      <w:pPr>
        <w:numPr>
          <w:ilvl w:val="0"/>
          <w:numId w:val="12"/>
        </w:numPr>
        <w:jc w:val="both"/>
      </w:pPr>
      <w:r>
        <w:rPr>
          <w:b/>
        </w:rPr>
        <w:t>Bibliografía obligatoria</w:t>
      </w:r>
      <w:r>
        <w:rPr>
          <w:b/>
          <w:i/>
        </w:rPr>
        <w:t xml:space="preserve"> </w:t>
      </w:r>
    </w:p>
    <w:p w14:paraId="417ABA80" w14:textId="77777777" w:rsidR="00A52577" w:rsidRDefault="00A52577" w:rsidP="00A52577">
      <w:pPr>
        <w:jc w:val="both"/>
      </w:pPr>
    </w:p>
    <w:p w14:paraId="1C51A907" w14:textId="77777777" w:rsidR="00A32322" w:rsidRDefault="00A32322" w:rsidP="00A32322">
      <w:pPr>
        <w:pStyle w:val="western"/>
        <w:spacing w:before="0" w:beforeAutospacing="0" w:after="0" w:line="240" w:lineRule="auto"/>
        <w:jc w:val="both"/>
      </w:pPr>
      <w:r>
        <w:rPr>
          <w:b/>
          <w:bCs/>
        </w:rPr>
        <w:t>Unidad 1</w:t>
      </w:r>
    </w:p>
    <w:p w14:paraId="03CE33EF" w14:textId="77777777" w:rsidR="00A32322" w:rsidRDefault="00A32322" w:rsidP="00A32322">
      <w:pPr>
        <w:pStyle w:val="western"/>
        <w:spacing w:before="0" w:beforeAutospacing="0" w:after="0" w:line="240" w:lineRule="auto"/>
        <w:jc w:val="both"/>
      </w:pPr>
      <w:r>
        <w:t xml:space="preserve">-Alliaud, A y Antelo, E. (2009). “Los maestros a través del espejo. Una mirada desde la biografía escolar”. En: </w:t>
      </w:r>
      <w:r>
        <w:rPr>
          <w:i/>
          <w:iCs/>
        </w:rPr>
        <w:t>Los gajes del oficio. Enseñanza pedagogía y formación</w:t>
      </w:r>
      <w:r>
        <w:t xml:space="preserve">. Buenos Aires: Aique. </w:t>
      </w:r>
    </w:p>
    <w:p w14:paraId="18AB08C1" w14:textId="77777777" w:rsidR="00A32322" w:rsidRDefault="00A32322" w:rsidP="00A32322">
      <w:pPr>
        <w:pStyle w:val="western"/>
        <w:spacing w:before="0" w:beforeAutospacing="0" w:after="0" w:line="240" w:lineRule="auto"/>
        <w:jc w:val="both"/>
      </w:pPr>
      <w:r>
        <w:t>-Freire, P (2008). Cartas a quien pretende enseñar. Buenos Aires: Siglo XXI.</w:t>
      </w:r>
    </w:p>
    <w:p w14:paraId="747B9F0A" w14:textId="77777777" w:rsidR="00A32322" w:rsidRDefault="00A32322" w:rsidP="00A32322">
      <w:pPr>
        <w:pStyle w:val="western"/>
        <w:spacing w:before="0" w:beforeAutospacing="0" w:after="0" w:line="240" w:lineRule="auto"/>
        <w:jc w:val="both"/>
      </w:pPr>
      <w:r>
        <w:t xml:space="preserve">- Jackson, P. (1999). “Donde trato de revelar las marcas de una enseñanza” en </w:t>
      </w:r>
      <w:r>
        <w:rPr>
          <w:i/>
          <w:iCs/>
        </w:rPr>
        <w:t>Enseñanzas implícitas</w:t>
      </w:r>
      <w:r>
        <w:t>. Buenos Aires: Amorrortu. Pp. 21-44.</w:t>
      </w:r>
    </w:p>
    <w:p w14:paraId="4591350C" w14:textId="77777777" w:rsidR="00A32322" w:rsidRDefault="00A32322" w:rsidP="00A32322">
      <w:pPr>
        <w:pStyle w:val="western"/>
        <w:spacing w:before="0" w:beforeAutospacing="0" w:after="0" w:line="240" w:lineRule="auto"/>
        <w:jc w:val="both"/>
      </w:pPr>
    </w:p>
    <w:p w14:paraId="6EACF548" w14:textId="77777777" w:rsidR="00A32322" w:rsidRDefault="00A32322" w:rsidP="00A32322">
      <w:pPr>
        <w:pStyle w:val="western"/>
        <w:spacing w:before="0" w:beforeAutospacing="0" w:after="0" w:line="240" w:lineRule="auto"/>
        <w:jc w:val="both"/>
      </w:pPr>
      <w:r>
        <w:rPr>
          <w:b/>
          <w:bCs/>
          <w:shd w:val="clear" w:color="auto" w:fill="FFFFFF"/>
        </w:rPr>
        <w:lastRenderedPageBreak/>
        <w:t>Unidad 2</w:t>
      </w:r>
    </w:p>
    <w:p w14:paraId="7C4AC8E2" w14:textId="77777777" w:rsidR="00A32322" w:rsidRDefault="00A32322" w:rsidP="00A32322">
      <w:pPr>
        <w:pStyle w:val="western"/>
        <w:spacing w:before="0" w:beforeAutospacing="0" w:after="0" w:line="240" w:lineRule="auto"/>
        <w:jc w:val="both"/>
      </w:pPr>
      <w:r>
        <w:t xml:space="preserve">-Cols, E. y Basabe, M. L. (2007). “La enseñanza” en Camilloni, A. (comp) </w:t>
      </w:r>
      <w:r>
        <w:rPr>
          <w:i/>
          <w:iCs/>
        </w:rPr>
        <w:t xml:space="preserve">El saber didáctico. </w:t>
      </w:r>
      <w:r>
        <w:t>Paidos: Buenos Aires. Pp 125-161.</w:t>
      </w:r>
    </w:p>
    <w:p w14:paraId="5C097E83" w14:textId="77777777" w:rsidR="00A32322" w:rsidRDefault="00A32322" w:rsidP="00A32322">
      <w:pPr>
        <w:pStyle w:val="western"/>
        <w:spacing w:before="0" w:beforeAutospacing="0" w:after="0" w:line="240" w:lineRule="auto"/>
        <w:jc w:val="both"/>
      </w:pPr>
    </w:p>
    <w:p w14:paraId="73473D88" w14:textId="77777777" w:rsidR="00A32322" w:rsidRDefault="00A32322" w:rsidP="00A32322">
      <w:pPr>
        <w:pStyle w:val="western"/>
        <w:spacing w:before="0" w:beforeAutospacing="0" w:after="0" w:line="240" w:lineRule="auto"/>
        <w:jc w:val="both"/>
      </w:pPr>
      <w:r>
        <w:rPr>
          <w:b/>
          <w:bCs/>
          <w:shd w:val="clear" w:color="auto" w:fill="FFFFFF"/>
        </w:rPr>
        <w:t>Unidad 3</w:t>
      </w:r>
    </w:p>
    <w:p w14:paraId="0F10715C" w14:textId="77777777" w:rsidR="00A32322" w:rsidRDefault="00A32322" w:rsidP="00A32322">
      <w:pPr>
        <w:pStyle w:val="western"/>
        <w:spacing w:before="0" w:beforeAutospacing="0" w:after="0" w:line="240" w:lineRule="auto"/>
        <w:jc w:val="both"/>
      </w:pPr>
      <w:r>
        <w:t>- Nilsa E. Pinto M. N. y Sanabria S. M. (2010). La investigación educativa en la formación integral del futuro educador. En Revista Ciencias de la Educación. Segunda Etapa / Año 2010 / Vol. 20 / Nº 36 / Valencia, Julio – Diciembre. Pp. 190-208.</w:t>
      </w:r>
    </w:p>
    <w:p w14:paraId="04D9A015" w14:textId="77777777" w:rsidR="00A32322" w:rsidRDefault="00A32322" w:rsidP="00A32322">
      <w:pPr>
        <w:pStyle w:val="western"/>
        <w:spacing w:before="0" w:beforeAutospacing="0" w:after="0" w:line="240" w:lineRule="auto"/>
        <w:jc w:val="both"/>
      </w:pPr>
    </w:p>
    <w:p w14:paraId="2BDEE7F3" w14:textId="77777777" w:rsidR="00A32322" w:rsidRDefault="00A32322" w:rsidP="00A32322">
      <w:pPr>
        <w:pStyle w:val="western"/>
        <w:spacing w:before="0" w:beforeAutospacing="0" w:after="0" w:line="240" w:lineRule="auto"/>
        <w:jc w:val="both"/>
      </w:pPr>
      <w:r>
        <w:rPr>
          <w:b/>
          <w:bCs/>
          <w:shd w:val="clear" w:color="auto" w:fill="FFFFFF"/>
        </w:rPr>
        <w:t>Unidad 4</w:t>
      </w:r>
    </w:p>
    <w:p w14:paraId="21751019" w14:textId="77777777" w:rsidR="00A32322" w:rsidRDefault="00A32322" w:rsidP="00A32322">
      <w:pPr>
        <w:pStyle w:val="western"/>
        <w:spacing w:before="0" w:beforeAutospacing="0" w:after="0" w:line="240" w:lineRule="auto"/>
        <w:jc w:val="both"/>
      </w:pPr>
      <w:r>
        <w:t xml:space="preserve">-Acevedo - La observación como recurso metodológico en el campo de lo institucional, disponible en </w:t>
      </w:r>
      <w:hyperlink r:id="rId9" w:history="1">
        <w:r>
          <w:rPr>
            <w:rStyle w:val="Hipervnculo"/>
          </w:rPr>
          <w:t>http://www.catedras.fsoc.uba.ar/ferraros/BD/mja%20la%20observacion.pdf</w:t>
        </w:r>
      </w:hyperlink>
    </w:p>
    <w:p w14:paraId="22F7591D" w14:textId="77777777" w:rsidR="00A32322" w:rsidRDefault="00A32322" w:rsidP="00A32322">
      <w:pPr>
        <w:pStyle w:val="western"/>
        <w:spacing w:before="0" w:beforeAutospacing="0" w:after="0" w:line="240" w:lineRule="auto"/>
        <w:jc w:val="both"/>
      </w:pPr>
      <w:r>
        <w:rPr>
          <w:lang w:val="es-ES"/>
        </w:rPr>
        <w:t xml:space="preserve">-Grasso, L. (2006). </w:t>
      </w:r>
      <w:r>
        <w:rPr>
          <w:i/>
          <w:iCs/>
          <w:lang w:val="es-ES"/>
        </w:rPr>
        <w:t xml:space="preserve">Encuestas. Elementos para su diseño y análisis. </w:t>
      </w:r>
      <w:r>
        <w:rPr>
          <w:lang w:val="es-ES"/>
        </w:rPr>
        <w:t xml:space="preserve">Córdoba: Encuentro Grupo Editor. </w:t>
      </w:r>
    </w:p>
    <w:p w14:paraId="062272B3" w14:textId="77777777" w:rsidR="00A32322" w:rsidRDefault="00A32322" w:rsidP="00A32322">
      <w:pPr>
        <w:pStyle w:val="western"/>
        <w:spacing w:before="0" w:beforeAutospacing="0" w:after="0" w:line="240" w:lineRule="auto"/>
        <w:jc w:val="both"/>
      </w:pPr>
      <w:r>
        <w:t xml:space="preserve">-Taylor, S. y Bogdan, R. (1986). “La observación participante. Preparación del trabajo de campo” y “La entrevista en profundidad” en </w:t>
      </w:r>
      <w:r>
        <w:rPr>
          <w:i/>
          <w:iCs/>
        </w:rPr>
        <w:t>Introducción a los métodos cualitativos de investigación</w:t>
      </w:r>
      <w:r>
        <w:t xml:space="preserve">. Paidós. Barcelona. Pp. 31-49 y Pp. 100-132. </w:t>
      </w:r>
    </w:p>
    <w:p w14:paraId="7296E33D" w14:textId="77777777" w:rsidR="00A32322" w:rsidRDefault="00A32322" w:rsidP="00A32322">
      <w:pPr>
        <w:pStyle w:val="western"/>
        <w:spacing w:before="0" w:beforeAutospacing="0" w:after="0" w:line="240" w:lineRule="auto"/>
        <w:jc w:val="both"/>
        <w:rPr>
          <w:b/>
          <w:bCs/>
          <w:shd w:val="clear" w:color="auto" w:fill="FFFFFF"/>
        </w:rPr>
      </w:pPr>
    </w:p>
    <w:p w14:paraId="21988D6E" w14:textId="77777777" w:rsidR="00A32322" w:rsidRDefault="00A32322" w:rsidP="00A32322">
      <w:pPr>
        <w:pStyle w:val="western"/>
        <w:spacing w:before="0" w:beforeAutospacing="0" w:after="0" w:line="240" w:lineRule="auto"/>
        <w:jc w:val="both"/>
      </w:pPr>
      <w:r>
        <w:rPr>
          <w:b/>
          <w:bCs/>
          <w:shd w:val="clear" w:color="auto" w:fill="FFFFFF"/>
        </w:rPr>
        <w:t>Unidad 5</w:t>
      </w:r>
    </w:p>
    <w:p w14:paraId="74766895" w14:textId="77777777" w:rsidR="00A32322" w:rsidRDefault="00A32322" w:rsidP="00A32322">
      <w:pPr>
        <w:pStyle w:val="western"/>
        <w:spacing w:before="0" w:beforeAutospacing="0" w:after="0" w:line="240" w:lineRule="auto"/>
        <w:jc w:val="both"/>
      </w:pPr>
      <w:r>
        <w:t>-De Angelis, S. (2005). El método comparativo constante. Material elaborado para el proyecto Margarita, Infancia en Red. Disponible en infanciaenreg.org.ar/margarita</w:t>
      </w:r>
    </w:p>
    <w:p w14:paraId="7D972219" w14:textId="77777777" w:rsidR="00A32322" w:rsidRDefault="00A32322" w:rsidP="00A32322">
      <w:pPr>
        <w:pStyle w:val="western"/>
        <w:spacing w:before="0" w:beforeAutospacing="0" w:after="0" w:line="240" w:lineRule="auto"/>
        <w:jc w:val="both"/>
      </w:pPr>
      <w:r>
        <w:t>-Sarlé, P. (2005). El análisis cualitativo: un ejemplo de empleo del método comparativo constante. Primera y Segunda parte. Disponible en infanciaenreg.org.ar/margarita.</w:t>
      </w:r>
    </w:p>
    <w:p w14:paraId="2A041098" w14:textId="77777777" w:rsidR="00A32322" w:rsidRDefault="00A32322" w:rsidP="00A32322">
      <w:pPr>
        <w:pStyle w:val="western"/>
        <w:spacing w:before="0" w:beforeAutospacing="0" w:after="0" w:line="240" w:lineRule="auto"/>
        <w:jc w:val="both"/>
      </w:pPr>
      <w:r>
        <w:t xml:space="preserve">-Faiad, M. E. (2014). “El informe de trabajo de campo en instituciones educativas” en Navarro, F. (coord.) </w:t>
      </w:r>
      <w:r>
        <w:rPr>
          <w:i/>
          <w:iCs/>
        </w:rPr>
        <w:t xml:space="preserve">Manual de escritura para carrera de humanidades. </w:t>
      </w:r>
      <w:r>
        <w:t>Editorial de la Facultad de Filosofía y Letras, Buenos Aires. Pp.319-334.</w:t>
      </w:r>
    </w:p>
    <w:p w14:paraId="78FD6644" w14:textId="77777777" w:rsidR="00A32322" w:rsidRDefault="00A32322" w:rsidP="00A32322">
      <w:pPr>
        <w:pStyle w:val="western"/>
        <w:spacing w:before="0" w:beforeAutospacing="0" w:after="0" w:line="240" w:lineRule="auto"/>
        <w:jc w:val="both"/>
      </w:pPr>
      <w:r>
        <w:t>-Ficha de cátedra sobre análisis de instrumentos de evaluación</w:t>
      </w:r>
    </w:p>
    <w:p w14:paraId="2C4930BF" w14:textId="77777777" w:rsidR="00A52577" w:rsidRDefault="00A52577" w:rsidP="00A52577">
      <w:pPr>
        <w:jc w:val="both"/>
      </w:pPr>
    </w:p>
    <w:p w14:paraId="0EDFD48D" w14:textId="77777777" w:rsidR="00CC5317" w:rsidRDefault="00CC5317" w:rsidP="00CC5317">
      <w:pPr>
        <w:ind w:left="360"/>
        <w:jc w:val="both"/>
      </w:pPr>
    </w:p>
    <w:p w14:paraId="3BE9CB70" w14:textId="77777777" w:rsidR="00CC5317" w:rsidRDefault="00CC5317" w:rsidP="00E524D4">
      <w:pPr>
        <w:numPr>
          <w:ilvl w:val="0"/>
          <w:numId w:val="12"/>
        </w:numPr>
        <w:jc w:val="both"/>
      </w:pPr>
      <w:r>
        <w:rPr>
          <w:b/>
        </w:rPr>
        <w:t>Bibliografía de consulta</w:t>
      </w:r>
    </w:p>
    <w:p w14:paraId="132E5398" w14:textId="77777777" w:rsidR="00CC5317" w:rsidRDefault="00CC5317" w:rsidP="00A32322">
      <w:pPr>
        <w:jc w:val="both"/>
      </w:pPr>
    </w:p>
    <w:p w14:paraId="7349A1C4" w14:textId="77777777" w:rsidR="00AB3303" w:rsidRDefault="00AB3303" w:rsidP="00AB3303">
      <w:pPr>
        <w:pStyle w:val="western"/>
        <w:spacing w:before="0" w:beforeAutospacing="0" w:after="0" w:line="240" w:lineRule="auto"/>
        <w:jc w:val="both"/>
      </w:pPr>
      <w:r>
        <w:rPr>
          <w:spacing w:val="-2"/>
        </w:rPr>
        <w:t>-</w:t>
      </w:r>
      <w:r>
        <w:t xml:space="preserve">Goetz, J.P. y LeCompte, M.D. (1988). “Características y orígenes de la etnografía educativa” </w:t>
      </w:r>
      <w:r>
        <w:rPr>
          <w:i/>
          <w:iCs/>
        </w:rPr>
        <w:t>Etnografía y diseño cualitativo en investigación educativa.</w:t>
      </w:r>
      <w:r>
        <w:t xml:space="preserve"> Morata: Madrid. Pp.27-56. </w:t>
      </w:r>
    </w:p>
    <w:p w14:paraId="6ACFDB34" w14:textId="77777777" w:rsidR="00AB3303" w:rsidRDefault="00AB3303" w:rsidP="00AB3303">
      <w:pPr>
        <w:pStyle w:val="western"/>
        <w:spacing w:before="0" w:beforeAutospacing="0" w:after="0" w:line="240" w:lineRule="auto"/>
        <w:jc w:val="both"/>
      </w:pPr>
      <w:r>
        <w:t xml:space="preserve">Sirvent M.T. (2005). </w:t>
      </w:r>
      <w:r>
        <w:rPr>
          <w:i/>
          <w:iCs/>
        </w:rPr>
        <w:t xml:space="preserve">El Proceso de Investigación </w:t>
      </w:r>
      <w:r>
        <w:t>Investigación y Estadística I. Buenos Aires: Oficina de Publicaciones de la Facultad de Filosofía y Letras (Opfyl). Pp 5-8.</w:t>
      </w:r>
    </w:p>
    <w:p w14:paraId="43195599" w14:textId="77777777" w:rsidR="00AB3303" w:rsidRDefault="00AB3303" w:rsidP="00AB3303">
      <w:pPr>
        <w:pStyle w:val="western"/>
        <w:spacing w:before="0" w:beforeAutospacing="0" w:after="0" w:line="240" w:lineRule="auto"/>
        <w:jc w:val="both"/>
      </w:pPr>
      <w:r>
        <w:t xml:space="preserve">-Hernández Sampieri, R, Fernandez Collado, C y Lucio, P. (1998 [1991]). “El proceso de investigación y los enfoques cuantitativo y cualitativo hacia un modelo integral” en </w:t>
      </w:r>
      <w:r>
        <w:rPr>
          <w:i/>
          <w:iCs/>
        </w:rPr>
        <w:t>Metodología de la investigación</w:t>
      </w:r>
      <w:r>
        <w:t>. Colombia: Mc Graw Hill: 3-27</w:t>
      </w:r>
    </w:p>
    <w:p w14:paraId="3DF5A43A" w14:textId="77777777" w:rsidR="00AB3303" w:rsidRDefault="00AB3303" w:rsidP="00AB3303">
      <w:pPr>
        <w:pStyle w:val="western"/>
        <w:spacing w:before="0" w:beforeAutospacing="0" w:after="0" w:line="240" w:lineRule="auto"/>
        <w:jc w:val="both"/>
        <w:rPr>
          <w:lang w:val="es-ES"/>
        </w:rPr>
      </w:pPr>
      <w:r>
        <w:rPr>
          <w:lang w:val="es-ES"/>
        </w:rPr>
        <w:t>-Sverdlick, I. (2007). “La investigación educativa como instrumento de acción, de formación y de cambio” en: Sverdlick, I.(comp.): La Investigación Educativa. Una herramienta de conocimiento y de acción, Buenos Aires: Noveduc.</w:t>
      </w:r>
    </w:p>
    <w:p w14:paraId="13AA1027" w14:textId="77777777" w:rsidR="00AB3303" w:rsidRDefault="00AB3303" w:rsidP="00AB3303">
      <w:pPr>
        <w:pStyle w:val="western"/>
        <w:spacing w:before="0" w:beforeAutospacing="0" w:after="0" w:line="240" w:lineRule="auto"/>
        <w:jc w:val="both"/>
        <w:rPr>
          <w:lang w:val="es-ES"/>
        </w:rPr>
      </w:pPr>
      <w:r>
        <w:rPr>
          <w:lang w:val="es-ES"/>
        </w:rPr>
        <w:t xml:space="preserve">-Wittrock, M. (1990) La investigación de la enseñanza I. Enfoques, teorías y métodos. Barcelona: Paidós educador. </w:t>
      </w:r>
    </w:p>
    <w:p w14:paraId="7E3A5BCA" w14:textId="77777777" w:rsidR="00AB3303" w:rsidRDefault="00AB3303" w:rsidP="00AB3303">
      <w:pPr>
        <w:pStyle w:val="western"/>
        <w:spacing w:before="0" w:beforeAutospacing="0" w:after="0" w:line="240" w:lineRule="auto"/>
        <w:jc w:val="both"/>
        <w:rPr>
          <w:lang w:val="es-ES"/>
        </w:rPr>
      </w:pPr>
      <w:r>
        <w:rPr>
          <w:lang w:val="es-ES"/>
        </w:rPr>
        <w:t>-Woods, P. (1992) La escuela por dentro. La etnografía en la investigación educativa. Barcelona: Paidós.</w:t>
      </w:r>
    </w:p>
    <w:p w14:paraId="1FE05A5B" w14:textId="77777777" w:rsidR="00A32322" w:rsidRDefault="00A32322" w:rsidP="00A32322">
      <w:pPr>
        <w:jc w:val="both"/>
      </w:pPr>
    </w:p>
    <w:p w14:paraId="7CF72634" w14:textId="77777777" w:rsidR="00A32322" w:rsidRDefault="00A32322" w:rsidP="00A32322">
      <w:pPr>
        <w:jc w:val="both"/>
      </w:pPr>
    </w:p>
    <w:p w14:paraId="30818E3B" w14:textId="77777777" w:rsidR="00CC5317" w:rsidRDefault="00CC5317" w:rsidP="00E524D4">
      <w:pPr>
        <w:numPr>
          <w:ilvl w:val="0"/>
          <w:numId w:val="12"/>
        </w:numPr>
        <w:jc w:val="both"/>
      </w:pPr>
      <w:r>
        <w:rPr>
          <w:b/>
        </w:rPr>
        <w:t xml:space="preserve">Sistema de cursado y promoción </w:t>
      </w:r>
    </w:p>
    <w:p w14:paraId="753A324A" w14:textId="77777777" w:rsidR="00DD29AC" w:rsidRDefault="00DD29AC" w:rsidP="00DD29AC">
      <w:pPr>
        <w:pStyle w:val="western"/>
        <w:spacing w:before="0" w:beforeAutospacing="0" w:after="0" w:line="240" w:lineRule="auto"/>
        <w:jc w:val="both"/>
      </w:pPr>
    </w:p>
    <w:p w14:paraId="54A83E50" w14:textId="77777777" w:rsidR="00AB3303" w:rsidRDefault="00AB3303" w:rsidP="00DD29AC">
      <w:pPr>
        <w:pStyle w:val="western"/>
        <w:spacing w:before="0" w:beforeAutospacing="0" w:after="0" w:line="240" w:lineRule="auto"/>
        <w:jc w:val="both"/>
      </w:pPr>
      <w:r>
        <w:t xml:space="preserve">Aproximación a la Práctica Docente es un espacio curricular de cursada obligatoria con promoción sin examen final. Para ello, el estudiante deberá 1) participar de las actividades requeridas en el campus virtual y 2) aprobar el análisis del relato autobiográfico y </w:t>
      </w:r>
      <w:r w:rsidR="00DD29AC">
        <w:t xml:space="preserve">3) </w:t>
      </w:r>
      <w:r>
        <w:t xml:space="preserve">aprobar el informe final con una calificación igual o superior a 7 (siete) puntos. </w:t>
      </w:r>
    </w:p>
    <w:p w14:paraId="556B5F99" w14:textId="77777777" w:rsidR="00AB3303" w:rsidRDefault="00AB3303" w:rsidP="00DD29AC">
      <w:pPr>
        <w:pStyle w:val="western"/>
        <w:spacing w:before="0" w:beforeAutospacing="0" w:after="0" w:line="240" w:lineRule="auto"/>
        <w:jc w:val="both"/>
      </w:pPr>
      <w:r>
        <w:lastRenderedPageBreak/>
        <w:t xml:space="preserve">En caso de que el estudiante no cumpla con la participación en el campus virtual, pierde la condición de regular y debe recursar la materia. </w:t>
      </w:r>
    </w:p>
    <w:p w14:paraId="133F56F0" w14:textId="77777777" w:rsidR="00AB3303" w:rsidRDefault="00AB3303" w:rsidP="00DD29AC">
      <w:pPr>
        <w:pStyle w:val="western"/>
        <w:spacing w:before="0" w:beforeAutospacing="0" w:after="0" w:line="240" w:lineRule="auto"/>
        <w:jc w:val="both"/>
      </w:pPr>
      <w:r>
        <w:t xml:space="preserve">El estudiante puede rendir examen final en caso de haber </w:t>
      </w:r>
      <w:r w:rsidR="00052CB8">
        <w:t xml:space="preserve">participado en el campus </w:t>
      </w:r>
      <w:r>
        <w:t xml:space="preserve"> y haber obtenido un promedio de entre 4 (cuatro) y </w:t>
      </w:r>
      <w:r w:rsidR="00DD29AC">
        <w:t xml:space="preserve">menos de </w:t>
      </w:r>
      <w:r>
        <w:t>7 (siete) puntos.</w:t>
      </w:r>
    </w:p>
    <w:p w14:paraId="7FF6ED4E" w14:textId="77777777" w:rsidR="00AB3303" w:rsidRDefault="00AB3303" w:rsidP="00DD29AC">
      <w:pPr>
        <w:pStyle w:val="western"/>
        <w:spacing w:before="0" w:beforeAutospacing="0" w:after="0" w:line="240" w:lineRule="auto"/>
      </w:pPr>
      <w:r>
        <w:t xml:space="preserve">Este espacio curricular no admite la posibilidad de rendir la materia bajo la modalidad de alumno libre. </w:t>
      </w:r>
    </w:p>
    <w:p w14:paraId="3EFACB69" w14:textId="77777777" w:rsidR="00AB3303" w:rsidRDefault="00AB3303" w:rsidP="00CC5317">
      <w:pPr>
        <w:ind w:left="708" w:hanging="708"/>
      </w:pPr>
    </w:p>
    <w:p w14:paraId="365A6193" w14:textId="77777777" w:rsidR="00DD29AC" w:rsidRDefault="00DD29AC" w:rsidP="00CC5317">
      <w:pPr>
        <w:ind w:left="708" w:hanging="708"/>
      </w:pPr>
    </w:p>
    <w:p w14:paraId="445E037E" w14:textId="77777777" w:rsidR="00DD29AC" w:rsidRDefault="00DD29AC" w:rsidP="00CC5317">
      <w:pPr>
        <w:ind w:left="708" w:hanging="708"/>
      </w:pPr>
    </w:p>
    <w:p w14:paraId="65B8D05D" w14:textId="77777777" w:rsidR="00CC5317" w:rsidRDefault="00CC5317" w:rsidP="00E524D4">
      <w:pPr>
        <w:numPr>
          <w:ilvl w:val="0"/>
          <w:numId w:val="12"/>
        </w:numPr>
        <w:jc w:val="both"/>
      </w:pPr>
      <w:r>
        <w:rPr>
          <w:b/>
        </w:rPr>
        <w:t xml:space="preserve"> Instrumentos y criterios de evaluación para la aprobación de la unidad curricular</w:t>
      </w:r>
    </w:p>
    <w:p w14:paraId="7E1E6695" w14:textId="77777777" w:rsidR="00052CB8" w:rsidRDefault="00052CB8" w:rsidP="00052CB8">
      <w:pPr>
        <w:pStyle w:val="western"/>
        <w:spacing w:before="0" w:beforeAutospacing="0" w:after="0" w:line="240" w:lineRule="auto"/>
        <w:jc w:val="both"/>
      </w:pPr>
    </w:p>
    <w:p w14:paraId="6F526A6C" w14:textId="77777777" w:rsidR="00052CB8" w:rsidRPr="005F530F" w:rsidRDefault="00052CB8" w:rsidP="005F530F">
      <w:pPr>
        <w:pStyle w:val="western"/>
        <w:spacing w:before="0" w:beforeAutospacing="0" w:after="0" w:line="240" w:lineRule="auto"/>
        <w:jc w:val="both"/>
        <w:rPr>
          <w:rFonts w:eastAsia="Calibri"/>
          <w:lang w:val="es-MX"/>
        </w:rPr>
      </w:pPr>
      <w:r w:rsidRPr="001B45B5">
        <w:t xml:space="preserve">Se realizará un seguimiento del proceso de aprendizaje de los/as estudiantes, identificando </w:t>
      </w:r>
      <w:r w:rsidRPr="005F530F">
        <w:rPr>
          <w:rFonts w:eastAsia="Calibri"/>
          <w:lang w:val="es-MX"/>
        </w:rPr>
        <w:t>logros, avances y dificultades. Esta evaluación de proceso se realizará a través de observaciones</w:t>
      </w:r>
      <w:r w:rsidR="005F530F" w:rsidRPr="005F530F">
        <w:rPr>
          <w:rFonts w:eastAsia="Calibri"/>
          <w:lang w:val="es-MX"/>
        </w:rPr>
        <w:t xml:space="preserve"> de las consultas y tipo de participación en el campus y del análisis de las</w:t>
      </w:r>
      <w:r w:rsidRPr="005F530F">
        <w:rPr>
          <w:rFonts w:eastAsia="Calibri"/>
          <w:lang w:val="es-MX"/>
        </w:rPr>
        <w:t xml:space="preserve"> producciones </w:t>
      </w:r>
      <w:r w:rsidR="005F530F" w:rsidRPr="005F530F">
        <w:rPr>
          <w:rFonts w:eastAsia="Calibri"/>
          <w:lang w:val="es-MX"/>
        </w:rPr>
        <w:t>de los estudiantes</w:t>
      </w:r>
      <w:r w:rsidRPr="005F530F">
        <w:rPr>
          <w:rFonts w:eastAsia="Calibri"/>
          <w:lang w:val="es-MX"/>
        </w:rPr>
        <w:t xml:space="preserve">. </w:t>
      </w:r>
    </w:p>
    <w:p w14:paraId="47C99AA9" w14:textId="77777777" w:rsidR="005F530F" w:rsidRPr="005F530F" w:rsidRDefault="005F530F" w:rsidP="005F530F">
      <w:pPr>
        <w:pStyle w:val="western"/>
        <w:spacing w:before="0" w:beforeAutospacing="0" w:after="0" w:line="240" w:lineRule="auto"/>
        <w:jc w:val="both"/>
        <w:rPr>
          <w:rFonts w:eastAsia="Calibri"/>
          <w:lang w:val="es-MX"/>
        </w:rPr>
      </w:pPr>
      <w:r w:rsidRPr="005F530F">
        <w:rPr>
          <w:rFonts w:eastAsia="Calibri"/>
          <w:lang w:val="es-MX"/>
        </w:rPr>
        <w:t xml:space="preserve">Los estudiantes realizarán 1 (un) relato de autobiografía escolar individual (que se aprobará con 4 (cuatro) o más puntos) y un informe grupal escrito final con carácter integrador a partir del análisis de materiales curriculares y de entrevistas a un profesor de lengua extranjera (que se aprueba con 4 (cuatro) o más puntos) y se realiza de manera integrada con el segundo trabajo de Didáctica general. </w:t>
      </w:r>
    </w:p>
    <w:p w14:paraId="1C3F0EC0" w14:textId="77777777" w:rsidR="00052CB8" w:rsidRPr="005F530F" w:rsidRDefault="00052CB8" w:rsidP="005F530F">
      <w:pPr>
        <w:pStyle w:val="western"/>
        <w:spacing w:before="0" w:beforeAutospacing="0" w:after="0" w:line="240" w:lineRule="auto"/>
        <w:jc w:val="both"/>
        <w:rPr>
          <w:rFonts w:eastAsia="Calibri"/>
          <w:lang w:val="es-MX"/>
        </w:rPr>
      </w:pPr>
      <w:r w:rsidRPr="005F530F">
        <w:rPr>
          <w:rFonts w:eastAsia="Calibri"/>
          <w:lang w:val="es-MX"/>
        </w:rPr>
        <w:t xml:space="preserve">Se penalizará por plagio. </w:t>
      </w:r>
    </w:p>
    <w:p w14:paraId="3A25AEEC" w14:textId="77777777" w:rsidR="00052CB8" w:rsidRPr="005F530F" w:rsidRDefault="00052CB8" w:rsidP="00052CB8">
      <w:pPr>
        <w:jc w:val="both"/>
        <w:rPr>
          <w:rFonts w:eastAsia="Calibri"/>
        </w:rPr>
      </w:pPr>
      <w:r w:rsidRPr="00052CB8">
        <w:rPr>
          <w:rFonts w:eastAsia="Calibri"/>
        </w:rPr>
        <w:t>Son criterios de evaluación</w:t>
      </w:r>
      <w:r w:rsidR="005F530F">
        <w:rPr>
          <w:rFonts w:eastAsia="Calibri"/>
        </w:rPr>
        <w:t xml:space="preserve"> del análisis del relato autobiográfico: la a</w:t>
      </w:r>
      <w:r w:rsidR="005F530F" w:rsidRPr="005F530F">
        <w:rPr>
          <w:rFonts w:eastAsia="Calibri"/>
        </w:rPr>
        <w:t>decuación de las respuestas a las consigna</w:t>
      </w:r>
      <w:r w:rsidR="005F530F">
        <w:rPr>
          <w:rFonts w:eastAsia="Calibri"/>
        </w:rPr>
        <w:t>s</w:t>
      </w:r>
      <w:r w:rsidR="005F530F" w:rsidRPr="005F530F">
        <w:rPr>
          <w:rFonts w:eastAsia="Calibri"/>
        </w:rPr>
        <w:t>, la adecuada expresión escrita de las ideas, la referencia al propio relato, el análisis justificado desde los aportes teóricos, el estudio y análisis de la bibliografía obligatoria indicada y el cumplimiento de los requisitos formales.</w:t>
      </w:r>
      <w:r w:rsidR="005F530F">
        <w:rPr>
          <w:rFonts w:eastAsia="Calibri"/>
        </w:rPr>
        <w:t xml:space="preserve"> </w:t>
      </w:r>
      <w:r w:rsidRPr="005F530F">
        <w:rPr>
          <w:rFonts w:eastAsia="Calibri"/>
        </w:rPr>
        <w:t xml:space="preserve">Para el segundo trabajo se requiere, además, el uso de conceptos para analizar los documentos: entrevista, planificación y la referencia a la los documentos analizados. En cada instrumento se explicitan los criterios de evaluación según correspondan a los distintos trabajos. </w:t>
      </w:r>
    </w:p>
    <w:p w14:paraId="52B45F09" w14:textId="77777777" w:rsidR="00052CB8" w:rsidRPr="00052CB8" w:rsidRDefault="00052CB8" w:rsidP="00052CB8">
      <w:pPr>
        <w:jc w:val="both"/>
        <w:rPr>
          <w:rFonts w:eastAsia="Calibri"/>
        </w:rPr>
      </w:pPr>
      <w:r w:rsidRPr="00052CB8">
        <w:rPr>
          <w:rFonts w:eastAsia="Calibri"/>
        </w:rPr>
        <w:t xml:space="preserve">Luego de la entrega y corrección del segundo trabajo, se prevé una instancia de socialización de los mismos a fin de generar un espacio de diálogo e intercambios entre los diferentes estudiantes y de reflexión de quienes han elaborado el trabajo.  </w:t>
      </w:r>
    </w:p>
    <w:p w14:paraId="6CAECB29" w14:textId="77777777" w:rsidR="00052CB8" w:rsidRPr="00052CB8" w:rsidRDefault="00052CB8" w:rsidP="00052CB8">
      <w:pPr>
        <w:jc w:val="both"/>
        <w:rPr>
          <w:rFonts w:eastAsia="Calibri"/>
        </w:rPr>
      </w:pPr>
      <w:r w:rsidRPr="00052CB8">
        <w:rPr>
          <w:rFonts w:eastAsia="Calibri"/>
        </w:rPr>
        <w:t xml:space="preserve">En lo referido a criterios para aprobar la materia situamos: </w:t>
      </w:r>
      <w:r w:rsidR="005F530F">
        <w:rPr>
          <w:rFonts w:eastAsia="Calibri"/>
        </w:rPr>
        <w:t xml:space="preserve">la participación en el campus, </w:t>
      </w:r>
      <w:r w:rsidRPr="00052CB8">
        <w:rPr>
          <w:rFonts w:eastAsia="Calibri"/>
        </w:rPr>
        <w:t xml:space="preserve">el compromiso </w:t>
      </w:r>
      <w:r w:rsidR="005F530F">
        <w:rPr>
          <w:rFonts w:eastAsia="Calibri"/>
        </w:rPr>
        <w:t>con la tarea</w:t>
      </w:r>
      <w:r w:rsidRPr="00052CB8">
        <w:rPr>
          <w:rFonts w:eastAsia="Calibri"/>
        </w:rPr>
        <w:t>, el respeto del encuadre de trabajo y de los compañeros y la docente.</w:t>
      </w:r>
    </w:p>
    <w:p w14:paraId="08B4DD82" w14:textId="77777777" w:rsidR="00CC5317" w:rsidRDefault="00CC5317">
      <w:pPr>
        <w:jc w:val="both"/>
      </w:pPr>
    </w:p>
    <w:sectPr w:rsidR="00CC5317" w:rsidSect="00CC5317">
      <w:footerReference w:type="even" r:id="rId10"/>
      <w:footerReference w:type="default" r:id="rId11"/>
      <w:pgSz w:w="11907" w:h="16840" w:code="9"/>
      <w:pgMar w:top="851"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37E09" w14:textId="77777777" w:rsidR="00D765DC" w:rsidRDefault="00D765DC">
      <w:r>
        <w:separator/>
      </w:r>
    </w:p>
  </w:endnote>
  <w:endnote w:type="continuationSeparator" w:id="0">
    <w:p w14:paraId="4DBFE06B" w14:textId="77777777" w:rsidR="00D765DC" w:rsidRDefault="00D7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A1B1B" w14:textId="77777777" w:rsidR="003377D2" w:rsidRDefault="006865C5">
    <w:pPr>
      <w:tabs>
        <w:tab w:val="center" w:pos="4419"/>
        <w:tab w:val="right" w:pos="8838"/>
      </w:tabs>
      <w:jc w:val="right"/>
    </w:pPr>
    <w:r>
      <w:fldChar w:fldCharType="begin"/>
    </w:r>
    <w:r>
      <w:instrText>PAGE</w:instrText>
    </w:r>
    <w:r>
      <w:fldChar w:fldCharType="end"/>
    </w:r>
  </w:p>
  <w:p w14:paraId="2E9E83A5" w14:textId="77777777" w:rsidR="003377D2" w:rsidRDefault="003377D2">
    <w:pPr>
      <w:tabs>
        <w:tab w:val="center" w:pos="4419"/>
        <w:tab w:val="right" w:pos="8838"/>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373644"/>
      <w:docPartObj>
        <w:docPartGallery w:val="Page Numbers (Bottom of Page)"/>
        <w:docPartUnique/>
      </w:docPartObj>
    </w:sdtPr>
    <w:sdtEndPr/>
    <w:sdtContent>
      <w:p w14:paraId="69C66CB7" w14:textId="77777777" w:rsidR="00CC5317" w:rsidRDefault="00CC5317">
        <w:pPr>
          <w:pStyle w:val="Piedepgina"/>
          <w:jc w:val="right"/>
        </w:pPr>
        <w:r>
          <w:fldChar w:fldCharType="begin"/>
        </w:r>
        <w:r>
          <w:instrText>PAGE   \* MERGEFORMAT</w:instrText>
        </w:r>
        <w:r>
          <w:fldChar w:fldCharType="separate"/>
        </w:r>
        <w:r>
          <w:rPr>
            <w:lang w:val="es-ES"/>
          </w:rPr>
          <w:t>2</w:t>
        </w:r>
        <w:r>
          <w:fldChar w:fldCharType="end"/>
        </w:r>
      </w:p>
    </w:sdtContent>
  </w:sdt>
  <w:p w14:paraId="7C458E3B" w14:textId="77777777" w:rsidR="003377D2" w:rsidRDefault="003377D2">
    <w:pPr>
      <w:tabs>
        <w:tab w:val="center" w:pos="4419"/>
        <w:tab w:val="right" w:pos="883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6FCC6" w14:textId="77777777" w:rsidR="00D765DC" w:rsidRDefault="00D765DC">
      <w:r>
        <w:separator/>
      </w:r>
    </w:p>
  </w:footnote>
  <w:footnote w:type="continuationSeparator" w:id="0">
    <w:p w14:paraId="0C9357A4" w14:textId="77777777" w:rsidR="00D765DC" w:rsidRDefault="00D76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3F12"/>
    <w:multiLevelType w:val="multilevel"/>
    <w:tmpl w:val="FA58B03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2178"/>
    <w:multiLevelType w:val="multilevel"/>
    <w:tmpl w:val="33F47A56"/>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69336DF"/>
    <w:multiLevelType w:val="multilevel"/>
    <w:tmpl w:val="B4FE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C4FE4"/>
    <w:multiLevelType w:val="multilevel"/>
    <w:tmpl w:val="50AA2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855544"/>
    <w:multiLevelType w:val="multilevel"/>
    <w:tmpl w:val="D1F4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54750"/>
    <w:multiLevelType w:val="multilevel"/>
    <w:tmpl w:val="20081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1F2D88"/>
    <w:multiLevelType w:val="multilevel"/>
    <w:tmpl w:val="061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C156B"/>
    <w:multiLevelType w:val="multilevel"/>
    <w:tmpl w:val="C5B8AC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8D62E5"/>
    <w:multiLevelType w:val="multilevel"/>
    <w:tmpl w:val="5C545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50FC4"/>
    <w:multiLevelType w:val="multilevel"/>
    <w:tmpl w:val="04D816E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15:restartNumberingAfterBreak="0">
    <w:nsid w:val="33AE54FB"/>
    <w:multiLevelType w:val="multilevel"/>
    <w:tmpl w:val="ED4C1C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81CF1"/>
    <w:multiLevelType w:val="hybridMultilevel"/>
    <w:tmpl w:val="CE6A6A66"/>
    <w:lvl w:ilvl="0" w:tplc="92C06A42">
      <w:start w:val="3"/>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30B4A96"/>
    <w:multiLevelType w:val="hybridMultilevel"/>
    <w:tmpl w:val="45DC940C"/>
    <w:lvl w:ilvl="0" w:tplc="FE8848A2">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F13F12"/>
    <w:multiLevelType w:val="multilevel"/>
    <w:tmpl w:val="A2E8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92399A"/>
    <w:multiLevelType w:val="multilevel"/>
    <w:tmpl w:val="1C04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5C0118"/>
    <w:multiLevelType w:val="multilevel"/>
    <w:tmpl w:val="4834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41427F"/>
    <w:multiLevelType w:val="hybridMultilevel"/>
    <w:tmpl w:val="4DBC8C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2C41B43"/>
    <w:multiLevelType w:val="multilevel"/>
    <w:tmpl w:val="33F47A56"/>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64C17E5"/>
    <w:multiLevelType w:val="multilevel"/>
    <w:tmpl w:val="9F68F7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D452C1"/>
    <w:multiLevelType w:val="multilevel"/>
    <w:tmpl w:val="F50C5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7"/>
  </w:num>
  <w:num w:numId="3">
    <w:abstractNumId w:val="2"/>
  </w:num>
  <w:num w:numId="4">
    <w:abstractNumId w:val="10"/>
  </w:num>
  <w:num w:numId="5">
    <w:abstractNumId w:val="0"/>
  </w:num>
  <w:num w:numId="6">
    <w:abstractNumId w:val="5"/>
  </w:num>
  <w:num w:numId="7">
    <w:abstractNumId w:val="3"/>
  </w:num>
  <w:num w:numId="8">
    <w:abstractNumId w:val="7"/>
  </w:num>
  <w:num w:numId="9">
    <w:abstractNumId w:val="6"/>
  </w:num>
  <w:num w:numId="10">
    <w:abstractNumId w:val="11"/>
  </w:num>
  <w:num w:numId="11">
    <w:abstractNumId w:val="4"/>
  </w:num>
  <w:num w:numId="12">
    <w:abstractNumId w:val="1"/>
  </w:num>
  <w:num w:numId="13">
    <w:abstractNumId w:val="16"/>
  </w:num>
  <w:num w:numId="14">
    <w:abstractNumId w:val="14"/>
  </w:num>
  <w:num w:numId="15">
    <w:abstractNumId w:val="15"/>
  </w:num>
  <w:num w:numId="16">
    <w:abstractNumId w:val="8"/>
  </w:num>
  <w:num w:numId="17">
    <w:abstractNumId w:val="18"/>
  </w:num>
  <w:num w:numId="18">
    <w:abstractNumId w:val="9"/>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D2"/>
    <w:rsid w:val="00052CB8"/>
    <w:rsid w:val="000C5588"/>
    <w:rsid w:val="001107A1"/>
    <w:rsid w:val="00123EBE"/>
    <w:rsid w:val="00140251"/>
    <w:rsid w:val="001A368C"/>
    <w:rsid w:val="001B45B5"/>
    <w:rsid w:val="0020152B"/>
    <w:rsid w:val="00230280"/>
    <w:rsid w:val="003377D2"/>
    <w:rsid w:val="003C6867"/>
    <w:rsid w:val="00475B26"/>
    <w:rsid w:val="004C3427"/>
    <w:rsid w:val="005F530F"/>
    <w:rsid w:val="006213D2"/>
    <w:rsid w:val="0068310D"/>
    <w:rsid w:val="006865C5"/>
    <w:rsid w:val="006922C0"/>
    <w:rsid w:val="00742D93"/>
    <w:rsid w:val="0081726B"/>
    <w:rsid w:val="00850177"/>
    <w:rsid w:val="008F76DA"/>
    <w:rsid w:val="00922657"/>
    <w:rsid w:val="009E1F8F"/>
    <w:rsid w:val="00A32322"/>
    <w:rsid w:val="00A52577"/>
    <w:rsid w:val="00AB3303"/>
    <w:rsid w:val="00B02F68"/>
    <w:rsid w:val="00B16F4B"/>
    <w:rsid w:val="00B56AA3"/>
    <w:rsid w:val="00C73353"/>
    <w:rsid w:val="00CC5317"/>
    <w:rsid w:val="00D765DC"/>
    <w:rsid w:val="00D9664E"/>
    <w:rsid w:val="00DD29AC"/>
    <w:rsid w:val="00E10DD3"/>
    <w:rsid w:val="00E256DC"/>
    <w:rsid w:val="00E42631"/>
    <w:rsid w:val="00E45300"/>
    <w:rsid w:val="00E524D4"/>
    <w:rsid w:val="00EB1294"/>
    <w:rsid w:val="00EB5F4B"/>
    <w:rsid w:val="00F464D8"/>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DF34"/>
  <w15:docId w15:val="{3C294305-9103-4A45-88D8-7527F791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s-MX" w:eastAsia="es-AR"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6213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3D2"/>
    <w:rPr>
      <w:rFonts w:ascii="Tahoma" w:hAnsi="Tahoma" w:cs="Tahoma"/>
      <w:sz w:val="16"/>
      <w:szCs w:val="16"/>
    </w:rPr>
  </w:style>
  <w:style w:type="paragraph" w:customStyle="1" w:styleId="western">
    <w:name w:val="western"/>
    <w:basedOn w:val="Normal"/>
    <w:rsid w:val="00EB5F4B"/>
    <w:pPr>
      <w:pBdr>
        <w:top w:val="none" w:sz="0" w:space="0" w:color="auto"/>
        <w:left w:val="none" w:sz="0" w:space="0" w:color="auto"/>
        <w:bottom w:val="none" w:sz="0" w:space="0" w:color="auto"/>
        <w:right w:val="none" w:sz="0" w:space="0" w:color="auto"/>
        <w:between w:val="none" w:sz="0" w:space="0" w:color="auto"/>
      </w:pBdr>
      <w:spacing w:before="100" w:beforeAutospacing="1" w:after="142" w:line="288" w:lineRule="auto"/>
    </w:pPr>
    <w:rPr>
      <w:lang w:val="es-AR"/>
    </w:rPr>
  </w:style>
  <w:style w:type="paragraph" w:customStyle="1" w:styleId="Default">
    <w:name w:val="Default"/>
    <w:rsid w:val="0085017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lang w:val="es-AR"/>
    </w:rPr>
  </w:style>
  <w:style w:type="paragraph" w:styleId="NormalWeb">
    <w:name w:val="Normal (Web)"/>
    <w:basedOn w:val="Normal"/>
    <w:uiPriority w:val="99"/>
    <w:unhideWhenUsed/>
    <w:rsid w:val="008F76DA"/>
    <w:pPr>
      <w:pBdr>
        <w:top w:val="none" w:sz="0" w:space="0" w:color="auto"/>
        <w:left w:val="none" w:sz="0" w:space="0" w:color="auto"/>
        <w:bottom w:val="none" w:sz="0" w:space="0" w:color="auto"/>
        <w:right w:val="none" w:sz="0" w:space="0" w:color="auto"/>
        <w:between w:val="none" w:sz="0" w:space="0" w:color="auto"/>
      </w:pBdr>
      <w:spacing w:before="100" w:beforeAutospacing="1" w:after="142" w:line="288" w:lineRule="auto"/>
    </w:pPr>
    <w:rPr>
      <w:lang w:val="es-AR"/>
    </w:rPr>
  </w:style>
  <w:style w:type="character" w:styleId="Hipervnculo">
    <w:name w:val="Hyperlink"/>
    <w:basedOn w:val="Fuentedeprrafopredeter"/>
    <w:uiPriority w:val="99"/>
    <w:unhideWhenUsed/>
    <w:rsid w:val="00B56AA3"/>
    <w:rPr>
      <w:color w:val="0000FF"/>
      <w:u w:val="single"/>
    </w:rPr>
  </w:style>
  <w:style w:type="paragraph" w:customStyle="1" w:styleId="sdfootnote-western">
    <w:name w:val="sdfootnote-western"/>
    <w:basedOn w:val="Normal"/>
    <w:rsid w:val="00B56AA3"/>
    <w:pPr>
      <w:pBdr>
        <w:top w:val="none" w:sz="0" w:space="0" w:color="auto"/>
        <w:left w:val="none" w:sz="0" w:space="0" w:color="auto"/>
        <w:bottom w:val="none" w:sz="0" w:space="0" w:color="auto"/>
        <w:right w:val="none" w:sz="0" w:space="0" w:color="auto"/>
        <w:between w:val="none" w:sz="0" w:space="0" w:color="auto"/>
      </w:pBdr>
      <w:spacing w:before="100" w:beforeAutospacing="1"/>
    </w:pPr>
    <w:rPr>
      <w:sz w:val="20"/>
      <w:szCs w:val="20"/>
      <w:lang w:val="es-AR"/>
    </w:rPr>
  </w:style>
  <w:style w:type="paragraph" w:styleId="Prrafodelista">
    <w:name w:val="List Paragraph"/>
    <w:basedOn w:val="Normal"/>
    <w:uiPriority w:val="34"/>
    <w:qFormat/>
    <w:rsid w:val="001B45B5"/>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val="es-AR" w:eastAsia="en-US"/>
    </w:rPr>
  </w:style>
  <w:style w:type="paragraph" w:styleId="Encabezado">
    <w:name w:val="header"/>
    <w:basedOn w:val="Normal"/>
    <w:link w:val="EncabezadoCar"/>
    <w:uiPriority w:val="99"/>
    <w:unhideWhenUsed/>
    <w:rsid w:val="00CC5317"/>
    <w:pPr>
      <w:tabs>
        <w:tab w:val="center" w:pos="4419"/>
        <w:tab w:val="right" w:pos="8838"/>
      </w:tabs>
    </w:pPr>
  </w:style>
  <w:style w:type="character" w:customStyle="1" w:styleId="EncabezadoCar">
    <w:name w:val="Encabezado Car"/>
    <w:basedOn w:val="Fuentedeprrafopredeter"/>
    <w:link w:val="Encabezado"/>
    <w:uiPriority w:val="99"/>
    <w:rsid w:val="00CC5317"/>
  </w:style>
  <w:style w:type="paragraph" w:styleId="Piedepgina">
    <w:name w:val="footer"/>
    <w:basedOn w:val="Normal"/>
    <w:link w:val="PiedepginaCar"/>
    <w:uiPriority w:val="99"/>
    <w:unhideWhenUsed/>
    <w:rsid w:val="00CC5317"/>
    <w:pPr>
      <w:tabs>
        <w:tab w:val="center" w:pos="4419"/>
        <w:tab w:val="right" w:pos="8838"/>
      </w:tabs>
    </w:pPr>
  </w:style>
  <w:style w:type="character" w:customStyle="1" w:styleId="PiedepginaCar">
    <w:name w:val="Pie de página Car"/>
    <w:basedOn w:val="Fuentedeprrafopredeter"/>
    <w:link w:val="Piedepgina"/>
    <w:uiPriority w:val="99"/>
    <w:rsid w:val="00CC5317"/>
  </w:style>
  <w:style w:type="character" w:styleId="Mencinsinresolver">
    <w:name w:val="Unresolved Mention"/>
    <w:basedOn w:val="Fuentedeprrafopredeter"/>
    <w:uiPriority w:val="99"/>
    <w:semiHidden/>
    <w:unhideWhenUsed/>
    <w:rsid w:val="00DD29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89955">
      <w:bodyDiv w:val="1"/>
      <w:marLeft w:val="0"/>
      <w:marRight w:val="0"/>
      <w:marTop w:val="0"/>
      <w:marBottom w:val="0"/>
      <w:divBdr>
        <w:top w:val="none" w:sz="0" w:space="0" w:color="auto"/>
        <w:left w:val="none" w:sz="0" w:space="0" w:color="auto"/>
        <w:bottom w:val="none" w:sz="0" w:space="0" w:color="auto"/>
        <w:right w:val="none" w:sz="0" w:space="0" w:color="auto"/>
      </w:divBdr>
    </w:div>
    <w:div w:id="383606230">
      <w:bodyDiv w:val="1"/>
      <w:marLeft w:val="0"/>
      <w:marRight w:val="0"/>
      <w:marTop w:val="0"/>
      <w:marBottom w:val="0"/>
      <w:divBdr>
        <w:top w:val="none" w:sz="0" w:space="0" w:color="auto"/>
        <w:left w:val="none" w:sz="0" w:space="0" w:color="auto"/>
        <w:bottom w:val="none" w:sz="0" w:space="0" w:color="auto"/>
        <w:right w:val="none" w:sz="0" w:space="0" w:color="auto"/>
      </w:divBdr>
    </w:div>
    <w:div w:id="638530741">
      <w:bodyDiv w:val="1"/>
      <w:marLeft w:val="0"/>
      <w:marRight w:val="0"/>
      <w:marTop w:val="0"/>
      <w:marBottom w:val="0"/>
      <w:divBdr>
        <w:top w:val="none" w:sz="0" w:space="0" w:color="auto"/>
        <w:left w:val="none" w:sz="0" w:space="0" w:color="auto"/>
        <w:bottom w:val="none" w:sz="0" w:space="0" w:color="auto"/>
        <w:right w:val="none" w:sz="0" w:space="0" w:color="auto"/>
      </w:divBdr>
    </w:div>
    <w:div w:id="838545528">
      <w:bodyDiv w:val="1"/>
      <w:marLeft w:val="0"/>
      <w:marRight w:val="0"/>
      <w:marTop w:val="0"/>
      <w:marBottom w:val="0"/>
      <w:divBdr>
        <w:top w:val="none" w:sz="0" w:space="0" w:color="auto"/>
        <w:left w:val="none" w:sz="0" w:space="0" w:color="auto"/>
        <w:bottom w:val="none" w:sz="0" w:space="0" w:color="auto"/>
        <w:right w:val="none" w:sz="0" w:space="0" w:color="auto"/>
      </w:divBdr>
    </w:div>
    <w:div w:id="856234400">
      <w:bodyDiv w:val="1"/>
      <w:marLeft w:val="0"/>
      <w:marRight w:val="0"/>
      <w:marTop w:val="0"/>
      <w:marBottom w:val="0"/>
      <w:divBdr>
        <w:top w:val="none" w:sz="0" w:space="0" w:color="auto"/>
        <w:left w:val="none" w:sz="0" w:space="0" w:color="auto"/>
        <w:bottom w:val="none" w:sz="0" w:space="0" w:color="auto"/>
        <w:right w:val="none" w:sz="0" w:space="0" w:color="auto"/>
      </w:divBdr>
    </w:div>
    <w:div w:id="859122987">
      <w:bodyDiv w:val="1"/>
      <w:marLeft w:val="0"/>
      <w:marRight w:val="0"/>
      <w:marTop w:val="0"/>
      <w:marBottom w:val="0"/>
      <w:divBdr>
        <w:top w:val="none" w:sz="0" w:space="0" w:color="auto"/>
        <w:left w:val="none" w:sz="0" w:space="0" w:color="auto"/>
        <w:bottom w:val="none" w:sz="0" w:space="0" w:color="auto"/>
        <w:right w:val="none" w:sz="0" w:space="0" w:color="auto"/>
      </w:divBdr>
    </w:div>
    <w:div w:id="871305709">
      <w:bodyDiv w:val="1"/>
      <w:marLeft w:val="0"/>
      <w:marRight w:val="0"/>
      <w:marTop w:val="0"/>
      <w:marBottom w:val="0"/>
      <w:divBdr>
        <w:top w:val="none" w:sz="0" w:space="0" w:color="auto"/>
        <w:left w:val="none" w:sz="0" w:space="0" w:color="auto"/>
        <w:bottom w:val="none" w:sz="0" w:space="0" w:color="auto"/>
        <w:right w:val="none" w:sz="0" w:space="0" w:color="auto"/>
      </w:divBdr>
    </w:div>
    <w:div w:id="925765992">
      <w:bodyDiv w:val="1"/>
      <w:marLeft w:val="0"/>
      <w:marRight w:val="0"/>
      <w:marTop w:val="0"/>
      <w:marBottom w:val="0"/>
      <w:divBdr>
        <w:top w:val="none" w:sz="0" w:space="0" w:color="auto"/>
        <w:left w:val="none" w:sz="0" w:space="0" w:color="auto"/>
        <w:bottom w:val="none" w:sz="0" w:space="0" w:color="auto"/>
        <w:right w:val="none" w:sz="0" w:space="0" w:color="auto"/>
      </w:divBdr>
    </w:div>
    <w:div w:id="993684147">
      <w:bodyDiv w:val="1"/>
      <w:marLeft w:val="0"/>
      <w:marRight w:val="0"/>
      <w:marTop w:val="0"/>
      <w:marBottom w:val="0"/>
      <w:divBdr>
        <w:top w:val="none" w:sz="0" w:space="0" w:color="auto"/>
        <w:left w:val="none" w:sz="0" w:space="0" w:color="auto"/>
        <w:bottom w:val="none" w:sz="0" w:space="0" w:color="auto"/>
        <w:right w:val="none" w:sz="0" w:space="0" w:color="auto"/>
      </w:divBdr>
    </w:div>
    <w:div w:id="1010831549">
      <w:bodyDiv w:val="1"/>
      <w:marLeft w:val="0"/>
      <w:marRight w:val="0"/>
      <w:marTop w:val="0"/>
      <w:marBottom w:val="0"/>
      <w:divBdr>
        <w:top w:val="none" w:sz="0" w:space="0" w:color="auto"/>
        <w:left w:val="none" w:sz="0" w:space="0" w:color="auto"/>
        <w:bottom w:val="none" w:sz="0" w:space="0" w:color="auto"/>
        <w:right w:val="none" w:sz="0" w:space="0" w:color="auto"/>
      </w:divBdr>
    </w:div>
    <w:div w:id="1026830328">
      <w:bodyDiv w:val="1"/>
      <w:marLeft w:val="0"/>
      <w:marRight w:val="0"/>
      <w:marTop w:val="0"/>
      <w:marBottom w:val="0"/>
      <w:divBdr>
        <w:top w:val="none" w:sz="0" w:space="0" w:color="auto"/>
        <w:left w:val="none" w:sz="0" w:space="0" w:color="auto"/>
        <w:bottom w:val="none" w:sz="0" w:space="0" w:color="auto"/>
        <w:right w:val="none" w:sz="0" w:space="0" w:color="auto"/>
      </w:divBdr>
    </w:div>
    <w:div w:id="1131442177">
      <w:bodyDiv w:val="1"/>
      <w:marLeft w:val="0"/>
      <w:marRight w:val="0"/>
      <w:marTop w:val="0"/>
      <w:marBottom w:val="0"/>
      <w:divBdr>
        <w:top w:val="none" w:sz="0" w:space="0" w:color="auto"/>
        <w:left w:val="none" w:sz="0" w:space="0" w:color="auto"/>
        <w:bottom w:val="none" w:sz="0" w:space="0" w:color="auto"/>
        <w:right w:val="none" w:sz="0" w:space="0" w:color="auto"/>
      </w:divBdr>
    </w:div>
    <w:div w:id="1140923523">
      <w:bodyDiv w:val="1"/>
      <w:marLeft w:val="0"/>
      <w:marRight w:val="0"/>
      <w:marTop w:val="0"/>
      <w:marBottom w:val="0"/>
      <w:divBdr>
        <w:top w:val="none" w:sz="0" w:space="0" w:color="auto"/>
        <w:left w:val="none" w:sz="0" w:space="0" w:color="auto"/>
        <w:bottom w:val="none" w:sz="0" w:space="0" w:color="auto"/>
        <w:right w:val="none" w:sz="0" w:space="0" w:color="auto"/>
      </w:divBdr>
    </w:div>
    <w:div w:id="1238635078">
      <w:bodyDiv w:val="1"/>
      <w:marLeft w:val="0"/>
      <w:marRight w:val="0"/>
      <w:marTop w:val="0"/>
      <w:marBottom w:val="0"/>
      <w:divBdr>
        <w:top w:val="none" w:sz="0" w:space="0" w:color="auto"/>
        <w:left w:val="none" w:sz="0" w:space="0" w:color="auto"/>
        <w:bottom w:val="none" w:sz="0" w:space="0" w:color="auto"/>
        <w:right w:val="none" w:sz="0" w:space="0" w:color="auto"/>
      </w:divBdr>
    </w:div>
    <w:div w:id="1426464994">
      <w:bodyDiv w:val="1"/>
      <w:marLeft w:val="0"/>
      <w:marRight w:val="0"/>
      <w:marTop w:val="0"/>
      <w:marBottom w:val="0"/>
      <w:divBdr>
        <w:top w:val="none" w:sz="0" w:space="0" w:color="auto"/>
        <w:left w:val="none" w:sz="0" w:space="0" w:color="auto"/>
        <w:bottom w:val="none" w:sz="0" w:space="0" w:color="auto"/>
        <w:right w:val="none" w:sz="0" w:space="0" w:color="auto"/>
      </w:divBdr>
      <w:divsChild>
        <w:div w:id="1244875189">
          <w:marLeft w:val="0"/>
          <w:marRight w:val="0"/>
          <w:marTop w:val="0"/>
          <w:marBottom w:val="0"/>
          <w:divBdr>
            <w:top w:val="none" w:sz="0" w:space="0" w:color="auto"/>
            <w:left w:val="none" w:sz="0" w:space="0" w:color="auto"/>
            <w:bottom w:val="none" w:sz="0" w:space="0" w:color="auto"/>
            <w:right w:val="none" w:sz="0" w:space="0" w:color="auto"/>
          </w:divBdr>
        </w:div>
      </w:divsChild>
    </w:div>
    <w:div w:id="1522470579">
      <w:bodyDiv w:val="1"/>
      <w:marLeft w:val="0"/>
      <w:marRight w:val="0"/>
      <w:marTop w:val="0"/>
      <w:marBottom w:val="0"/>
      <w:divBdr>
        <w:top w:val="none" w:sz="0" w:space="0" w:color="auto"/>
        <w:left w:val="none" w:sz="0" w:space="0" w:color="auto"/>
        <w:bottom w:val="none" w:sz="0" w:space="0" w:color="auto"/>
        <w:right w:val="none" w:sz="0" w:space="0" w:color="auto"/>
      </w:divBdr>
    </w:div>
    <w:div w:id="1563909389">
      <w:bodyDiv w:val="1"/>
      <w:marLeft w:val="0"/>
      <w:marRight w:val="0"/>
      <w:marTop w:val="0"/>
      <w:marBottom w:val="0"/>
      <w:divBdr>
        <w:top w:val="none" w:sz="0" w:space="0" w:color="auto"/>
        <w:left w:val="none" w:sz="0" w:space="0" w:color="auto"/>
        <w:bottom w:val="none" w:sz="0" w:space="0" w:color="auto"/>
        <w:right w:val="none" w:sz="0" w:space="0" w:color="auto"/>
      </w:divBdr>
    </w:div>
    <w:div w:id="1605336071">
      <w:bodyDiv w:val="1"/>
      <w:marLeft w:val="0"/>
      <w:marRight w:val="0"/>
      <w:marTop w:val="0"/>
      <w:marBottom w:val="0"/>
      <w:divBdr>
        <w:top w:val="none" w:sz="0" w:space="0" w:color="auto"/>
        <w:left w:val="none" w:sz="0" w:space="0" w:color="auto"/>
        <w:bottom w:val="none" w:sz="0" w:space="0" w:color="auto"/>
        <w:right w:val="none" w:sz="0" w:space="0" w:color="auto"/>
      </w:divBdr>
    </w:div>
    <w:div w:id="1618871721">
      <w:bodyDiv w:val="1"/>
      <w:marLeft w:val="0"/>
      <w:marRight w:val="0"/>
      <w:marTop w:val="0"/>
      <w:marBottom w:val="0"/>
      <w:divBdr>
        <w:top w:val="none" w:sz="0" w:space="0" w:color="auto"/>
        <w:left w:val="none" w:sz="0" w:space="0" w:color="auto"/>
        <w:bottom w:val="none" w:sz="0" w:space="0" w:color="auto"/>
        <w:right w:val="none" w:sz="0" w:space="0" w:color="auto"/>
      </w:divBdr>
    </w:div>
    <w:div w:id="2001499883">
      <w:bodyDiv w:val="1"/>
      <w:marLeft w:val="0"/>
      <w:marRight w:val="0"/>
      <w:marTop w:val="0"/>
      <w:marBottom w:val="0"/>
      <w:divBdr>
        <w:top w:val="none" w:sz="0" w:space="0" w:color="auto"/>
        <w:left w:val="none" w:sz="0" w:space="0" w:color="auto"/>
        <w:bottom w:val="none" w:sz="0" w:space="0" w:color="auto"/>
        <w:right w:val="none" w:sz="0" w:space="0" w:color="auto"/>
      </w:divBdr>
    </w:div>
    <w:div w:id="2017034239">
      <w:bodyDiv w:val="1"/>
      <w:marLeft w:val="0"/>
      <w:marRight w:val="0"/>
      <w:marTop w:val="0"/>
      <w:marBottom w:val="0"/>
      <w:divBdr>
        <w:top w:val="none" w:sz="0" w:space="0" w:color="auto"/>
        <w:left w:val="none" w:sz="0" w:space="0" w:color="auto"/>
        <w:bottom w:val="none" w:sz="0" w:space="0" w:color="auto"/>
        <w:right w:val="none" w:sz="0" w:space="0" w:color="auto"/>
      </w:divBdr>
    </w:div>
    <w:div w:id="2081440570">
      <w:bodyDiv w:val="1"/>
      <w:marLeft w:val="0"/>
      <w:marRight w:val="0"/>
      <w:marTop w:val="0"/>
      <w:marBottom w:val="0"/>
      <w:divBdr>
        <w:top w:val="none" w:sz="0" w:space="0" w:color="auto"/>
        <w:left w:val="none" w:sz="0" w:space="0" w:color="auto"/>
        <w:bottom w:val="none" w:sz="0" w:space="0" w:color="auto"/>
        <w:right w:val="none" w:sz="0" w:space="0" w:color="auto"/>
      </w:divBdr>
    </w:div>
    <w:div w:id="2115049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tedras.fsoc.uba.ar/ferraros/BD/mja%20la%20observac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2047</Words>
  <Characters>11261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Fabia</dc:creator>
  <cp:lastModifiedBy>Patricia Veciño</cp:lastModifiedBy>
  <cp:revision>2</cp:revision>
  <dcterms:created xsi:type="dcterms:W3CDTF">2018-11-23T18:14:00Z</dcterms:created>
  <dcterms:modified xsi:type="dcterms:W3CDTF">2018-11-23T18:14:00Z</dcterms:modified>
</cp:coreProperties>
</file>