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0A4" w:rsidRDefault="009960A4" w:rsidP="00873700">
      <w:pPr>
        <w:suppressAutoHyphens w:val="0"/>
        <w:spacing w:before="100" w:beforeAutospacing="1"/>
        <w:jc w:val="center"/>
        <w:rPr>
          <w:b/>
          <w:bCs/>
          <w:lang w:val="es-BO"/>
        </w:rPr>
      </w:pPr>
    </w:p>
    <w:p w:rsidR="00092A4E" w:rsidRPr="00A63BA6" w:rsidRDefault="009960A4" w:rsidP="001E2260">
      <w:pPr>
        <w:suppressAutoHyphens w:val="0"/>
        <w:spacing w:before="100" w:beforeAutospacing="1"/>
        <w:jc w:val="center"/>
        <w:rPr>
          <w:lang w:val="es-BO" w:eastAsia="en-US"/>
        </w:rPr>
      </w:pPr>
      <w:r>
        <w:rPr>
          <w:b/>
          <w:bCs/>
          <w:lang w:val="es-BO"/>
        </w:rPr>
        <w:t>UNIDAD CURRRICULAR</w:t>
      </w:r>
      <w:r w:rsidR="00A0573A">
        <w:rPr>
          <w:b/>
          <w:bCs/>
          <w:lang w:val="es-BO"/>
        </w:rPr>
        <w:t>:</w:t>
      </w:r>
      <w:r>
        <w:rPr>
          <w:b/>
          <w:bCs/>
          <w:lang w:val="es-BO"/>
        </w:rPr>
        <w:t xml:space="preserve"> </w:t>
      </w:r>
      <w:r w:rsidR="00D11222" w:rsidRPr="00D11222">
        <w:rPr>
          <w:b/>
          <w:bCs/>
          <w:lang w:val="es-BO"/>
        </w:rPr>
        <w:t>Traducción económico-financiera</w:t>
      </w:r>
      <w:r w:rsidR="001E2260">
        <w:rPr>
          <w:b/>
          <w:bCs/>
          <w:lang w:val="es-BO"/>
        </w:rPr>
        <w:t xml:space="preserve"> (T.P.)</w:t>
      </w:r>
    </w:p>
    <w:p w:rsidR="00092A4E" w:rsidRPr="00A63BA6" w:rsidRDefault="00092A4E" w:rsidP="00092A4E">
      <w:pPr>
        <w:jc w:val="both"/>
        <w:rPr>
          <w:b/>
          <w:bCs/>
          <w:lang w:val="es-BO"/>
        </w:rPr>
      </w:pPr>
    </w:p>
    <w:p w:rsidR="00614314" w:rsidRPr="005D069B" w:rsidRDefault="009960A4" w:rsidP="00092A4E">
      <w:pPr>
        <w:jc w:val="both"/>
        <w:rPr>
          <w:lang w:val="es-BO"/>
        </w:rPr>
      </w:pPr>
      <w:r w:rsidRPr="005D069B">
        <w:rPr>
          <w:lang w:val="es-BO"/>
        </w:rPr>
        <w:t>Departamento</w:t>
      </w:r>
      <w:r w:rsidR="00614314" w:rsidRPr="005D069B">
        <w:rPr>
          <w:lang w:val="es-BO"/>
        </w:rPr>
        <w:t xml:space="preserve">: Portugués </w:t>
      </w:r>
    </w:p>
    <w:p w:rsidR="00614314" w:rsidRPr="005D069B" w:rsidRDefault="009960A4" w:rsidP="00092A4E">
      <w:pPr>
        <w:jc w:val="both"/>
        <w:rPr>
          <w:lang w:val="es-BO"/>
        </w:rPr>
      </w:pPr>
      <w:r w:rsidRPr="005D069B">
        <w:rPr>
          <w:lang w:val="es-BO"/>
        </w:rPr>
        <w:t>Carrera</w:t>
      </w:r>
      <w:r w:rsidR="00614314" w:rsidRPr="005D069B">
        <w:rPr>
          <w:lang w:val="es-BO"/>
        </w:rPr>
        <w:t>: Traductorado de Portugués</w:t>
      </w:r>
    </w:p>
    <w:p w:rsidR="00614314" w:rsidRPr="005D069B" w:rsidRDefault="009960A4" w:rsidP="00092A4E">
      <w:pPr>
        <w:jc w:val="both"/>
        <w:rPr>
          <w:rFonts w:cs="Arial"/>
          <w:spacing w:val="-3"/>
          <w:lang w:val="es-BO"/>
        </w:rPr>
      </w:pPr>
      <w:r w:rsidRPr="005D069B">
        <w:rPr>
          <w:rFonts w:cs="Arial"/>
          <w:spacing w:val="-3"/>
          <w:lang w:val="es-BO"/>
        </w:rPr>
        <w:t>Carga horaria</w:t>
      </w:r>
      <w:r w:rsidR="00793477" w:rsidRPr="005D069B">
        <w:rPr>
          <w:rFonts w:cs="Arial"/>
          <w:spacing w:val="-3"/>
          <w:lang w:val="es-BO"/>
        </w:rPr>
        <w:t>: 6</w:t>
      </w:r>
      <w:r w:rsidR="00614314" w:rsidRPr="005D069B">
        <w:rPr>
          <w:rFonts w:cs="Arial"/>
          <w:spacing w:val="-3"/>
          <w:lang w:val="es-BO"/>
        </w:rPr>
        <w:t xml:space="preserve"> horas semanales </w:t>
      </w:r>
    </w:p>
    <w:p w:rsidR="00614314" w:rsidRPr="005D069B" w:rsidRDefault="009960A4" w:rsidP="00092A4E">
      <w:pPr>
        <w:jc w:val="both"/>
        <w:rPr>
          <w:lang w:val="es-BO"/>
        </w:rPr>
      </w:pPr>
      <w:r w:rsidRPr="005D069B">
        <w:rPr>
          <w:lang w:val="es-BO"/>
        </w:rPr>
        <w:t>Regimen de cursada</w:t>
      </w:r>
      <w:r w:rsidR="00614314" w:rsidRPr="005D069B">
        <w:rPr>
          <w:lang w:val="es-BO"/>
        </w:rPr>
        <w:t xml:space="preserve">: cuatrimestral </w:t>
      </w:r>
    </w:p>
    <w:p w:rsidR="00614314" w:rsidRPr="005D069B" w:rsidRDefault="009960A4" w:rsidP="00092A4E">
      <w:pPr>
        <w:jc w:val="both"/>
        <w:rPr>
          <w:lang w:val="es-BO"/>
        </w:rPr>
      </w:pPr>
      <w:r w:rsidRPr="005D069B">
        <w:rPr>
          <w:lang w:val="es-BO"/>
        </w:rPr>
        <w:t>Turno</w:t>
      </w:r>
      <w:r w:rsidR="00614314" w:rsidRPr="005D069B">
        <w:rPr>
          <w:lang w:val="es-BO"/>
        </w:rPr>
        <w:t>: vespertino</w:t>
      </w:r>
    </w:p>
    <w:p w:rsidR="00614314" w:rsidRPr="005D069B" w:rsidRDefault="009960A4" w:rsidP="00092A4E">
      <w:pPr>
        <w:jc w:val="both"/>
        <w:rPr>
          <w:lang w:val="es-BO"/>
        </w:rPr>
      </w:pPr>
      <w:r w:rsidRPr="005D069B">
        <w:rPr>
          <w:lang w:val="es-BO"/>
        </w:rPr>
        <w:t>Profesor</w:t>
      </w:r>
      <w:r w:rsidR="00614314" w:rsidRPr="005D069B">
        <w:rPr>
          <w:lang w:val="es-BO"/>
        </w:rPr>
        <w:t>/</w:t>
      </w:r>
      <w:r w:rsidRPr="005D069B">
        <w:rPr>
          <w:lang w:val="es-BO"/>
        </w:rPr>
        <w:t>a</w:t>
      </w:r>
      <w:r w:rsidR="00614314" w:rsidRPr="005D069B">
        <w:rPr>
          <w:lang w:val="es-BO"/>
        </w:rPr>
        <w:t xml:space="preserve">: </w:t>
      </w:r>
      <w:r w:rsidR="00404835" w:rsidRPr="005D069B">
        <w:rPr>
          <w:lang w:val="es-BO"/>
        </w:rPr>
        <w:t>Santiago Farrell</w:t>
      </w:r>
    </w:p>
    <w:p w:rsidR="00614314" w:rsidRPr="005D069B" w:rsidRDefault="009960A4" w:rsidP="00092A4E">
      <w:pPr>
        <w:jc w:val="both"/>
        <w:rPr>
          <w:lang w:val="es-BO"/>
        </w:rPr>
      </w:pPr>
      <w:r w:rsidRPr="005D069B">
        <w:rPr>
          <w:lang w:val="es-BO"/>
        </w:rPr>
        <w:t>Año lectivo</w:t>
      </w:r>
      <w:r w:rsidR="006A4674" w:rsidRPr="005D069B">
        <w:rPr>
          <w:lang w:val="es-BO"/>
        </w:rPr>
        <w:t xml:space="preserve">: </w:t>
      </w:r>
      <w:r w:rsidR="00614314" w:rsidRPr="005D069B">
        <w:rPr>
          <w:lang w:val="es-BO"/>
        </w:rPr>
        <w:t>201</w:t>
      </w:r>
      <w:r w:rsidR="00404835" w:rsidRPr="005D069B">
        <w:rPr>
          <w:lang w:val="es-BO"/>
        </w:rPr>
        <w:t>8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A63BA6" w:rsidRDefault="00614314" w:rsidP="00092A4E">
      <w:pPr>
        <w:numPr>
          <w:ilvl w:val="0"/>
          <w:numId w:val="2"/>
        </w:numPr>
        <w:jc w:val="both"/>
        <w:rPr>
          <w:b/>
          <w:bCs/>
          <w:lang w:val="es-BO"/>
        </w:rPr>
      </w:pPr>
      <w:r w:rsidRPr="00A63BA6">
        <w:rPr>
          <w:b/>
          <w:bCs/>
          <w:lang w:val="es-BO"/>
        </w:rPr>
        <w:t>Fundamentación</w:t>
      </w:r>
    </w:p>
    <w:p w:rsidR="00614314" w:rsidRPr="00A63BA6" w:rsidRDefault="00614314" w:rsidP="00C66EB4">
      <w:pPr>
        <w:jc w:val="both"/>
        <w:rPr>
          <w:lang w:val="es-BO"/>
        </w:rPr>
      </w:pPr>
    </w:p>
    <w:p w:rsidR="00747549" w:rsidRDefault="001C3951" w:rsidP="00404835">
      <w:pPr>
        <w:ind w:firstLine="360"/>
        <w:jc w:val="both"/>
        <w:rPr>
          <w:lang w:val="es-BO"/>
        </w:rPr>
      </w:pPr>
      <w:r w:rsidRPr="00A63BA6">
        <w:rPr>
          <w:lang w:val="es-BO"/>
        </w:rPr>
        <w:t xml:space="preserve">La traducción económico-financiera se erige como uno de los principales campos de trabajo del traductor profesional </w:t>
      </w:r>
      <w:r w:rsidR="0028215A" w:rsidRPr="00A63BA6">
        <w:rPr>
          <w:lang w:val="es-BO"/>
        </w:rPr>
        <w:t>y</w:t>
      </w:r>
      <w:r w:rsidR="008352AF" w:rsidRPr="00A63BA6">
        <w:rPr>
          <w:lang w:val="es-BO"/>
        </w:rPr>
        <w:t xml:space="preserve"> reviste</w:t>
      </w:r>
      <w:r w:rsidR="0028215A" w:rsidRPr="00A63BA6">
        <w:rPr>
          <w:lang w:val="es-BO"/>
        </w:rPr>
        <w:t xml:space="preserve"> una </w:t>
      </w:r>
      <w:r w:rsidRPr="00A63BA6">
        <w:rPr>
          <w:lang w:val="es-BO"/>
        </w:rPr>
        <w:t xml:space="preserve">importancia </w:t>
      </w:r>
      <w:r w:rsidR="0028215A" w:rsidRPr="00A63BA6">
        <w:rPr>
          <w:lang w:val="es-BO"/>
        </w:rPr>
        <w:t xml:space="preserve">especial </w:t>
      </w:r>
      <w:r w:rsidRPr="00A63BA6">
        <w:rPr>
          <w:lang w:val="es-BO"/>
        </w:rPr>
        <w:t xml:space="preserve">en </w:t>
      </w:r>
      <w:r w:rsidR="00404835" w:rsidRPr="00A63BA6">
        <w:rPr>
          <w:lang w:val="es-BO"/>
        </w:rPr>
        <w:t xml:space="preserve">un mundo globalizado y cada vez más interconectado, </w:t>
      </w:r>
      <w:r w:rsidRPr="00A63BA6">
        <w:rPr>
          <w:lang w:val="es-BO"/>
        </w:rPr>
        <w:t>donde su objeto de trabajo</w:t>
      </w:r>
      <w:r w:rsidR="00404835" w:rsidRPr="00A63BA6">
        <w:rPr>
          <w:lang w:val="es-BO"/>
        </w:rPr>
        <w:t xml:space="preserve"> </w:t>
      </w:r>
      <w:r w:rsidR="008352AF" w:rsidRPr="00A63BA6">
        <w:rPr>
          <w:lang w:val="es-BO"/>
        </w:rPr>
        <w:t xml:space="preserve">determina </w:t>
      </w:r>
      <w:r w:rsidR="00747549">
        <w:rPr>
          <w:lang w:val="es-BO"/>
        </w:rPr>
        <w:t xml:space="preserve">el ritmo sociopolítico </w:t>
      </w:r>
      <w:r w:rsidR="00404835" w:rsidRPr="00A63BA6">
        <w:rPr>
          <w:lang w:val="es-BO"/>
        </w:rPr>
        <w:t xml:space="preserve">y </w:t>
      </w:r>
      <w:r w:rsidR="00747549">
        <w:rPr>
          <w:lang w:val="es-BO"/>
        </w:rPr>
        <w:t xml:space="preserve">cultural </w:t>
      </w:r>
      <w:r w:rsidR="00404835" w:rsidRPr="00A63BA6">
        <w:rPr>
          <w:lang w:val="es-BO"/>
        </w:rPr>
        <w:t xml:space="preserve">de </w:t>
      </w:r>
      <w:r w:rsidRPr="00A63BA6">
        <w:rPr>
          <w:lang w:val="es-BO"/>
        </w:rPr>
        <w:t>cualquier rincón del planeta.</w:t>
      </w:r>
      <w:r w:rsidR="00747549">
        <w:rPr>
          <w:lang w:val="es-BO"/>
        </w:rPr>
        <w:t xml:space="preserve"> Con cada día que pasa, la economía y las finanzas (sus términos, sus connotaciones, sus prácticas) penetran más en todas las esferas de la vida cotidiana, y con ellas, materiales traducidos.</w:t>
      </w:r>
    </w:p>
    <w:p w:rsidR="00747549" w:rsidRDefault="00747549" w:rsidP="00404835">
      <w:pPr>
        <w:ind w:firstLine="360"/>
        <w:jc w:val="both"/>
        <w:rPr>
          <w:lang w:val="es-BO"/>
        </w:rPr>
      </w:pPr>
      <w:r>
        <w:rPr>
          <w:lang w:val="es-BO"/>
        </w:rPr>
        <w:t>E</w:t>
      </w:r>
      <w:r w:rsidR="008352AF" w:rsidRPr="00A63BA6">
        <w:rPr>
          <w:lang w:val="es-BO"/>
        </w:rPr>
        <w:t xml:space="preserve">ste tipo de traducción </w:t>
      </w:r>
      <w:r w:rsidR="001C3951" w:rsidRPr="00A63BA6">
        <w:rPr>
          <w:lang w:val="es-BO"/>
        </w:rPr>
        <w:t xml:space="preserve">plantea </w:t>
      </w:r>
      <w:r>
        <w:rPr>
          <w:lang w:val="es-BO"/>
        </w:rPr>
        <w:t>sobre todo dos</w:t>
      </w:r>
      <w:r w:rsidR="001C3951" w:rsidRPr="00A63BA6">
        <w:rPr>
          <w:lang w:val="es-BO"/>
        </w:rPr>
        <w:t xml:space="preserve"> desafíos </w:t>
      </w:r>
      <w:r w:rsidR="00CA77F6" w:rsidRPr="00A63BA6">
        <w:rPr>
          <w:lang w:val="es-BO"/>
        </w:rPr>
        <w:t>p</w:t>
      </w:r>
      <w:r w:rsidR="0028215A" w:rsidRPr="00A63BA6">
        <w:rPr>
          <w:lang w:val="es-BO"/>
        </w:rPr>
        <w:t>rofesionales</w:t>
      </w:r>
      <w:r w:rsidR="00006591">
        <w:rPr>
          <w:lang w:val="es-BO"/>
        </w:rPr>
        <w:t>. Por</w:t>
      </w:r>
      <w:r w:rsidR="001C3951" w:rsidRPr="00A63BA6">
        <w:rPr>
          <w:lang w:val="es-BO"/>
        </w:rPr>
        <w:t xml:space="preserve"> un lado, presenta una notable diversidad de documentos (ensayos, artículos periodísticos, material de divulgación, balances contables y financieros, análisis</w:t>
      </w:r>
      <w:r w:rsidR="00006591">
        <w:rPr>
          <w:lang w:val="es-BO"/>
        </w:rPr>
        <w:t xml:space="preserve"> de marketing, informes de </w:t>
      </w:r>
      <w:r w:rsidR="002B0648">
        <w:rPr>
          <w:lang w:val="es-BO"/>
        </w:rPr>
        <w:t xml:space="preserve">inteligencia </w:t>
      </w:r>
      <w:r w:rsidR="00006591">
        <w:rPr>
          <w:lang w:val="es-BO"/>
        </w:rPr>
        <w:t xml:space="preserve">empresarial, </w:t>
      </w:r>
      <w:r>
        <w:rPr>
          <w:i/>
          <w:iCs/>
          <w:lang w:val="es-BO"/>
        </w:rPr>
        <w:t>paper</w:t>
      </w:r>
      <w:r w:rsidR="00AF70D1">
        <w:rPr>
          <w:i/>
          <w:iCs/>
          <w:lang w:val="es-BO"/>
        </w:rPr>
        <w:t>s</w:t>
      </w:r>
      <w:r>
        <w:rPr>
          <w:i/>
          <w:iCs/>
          <w:lang w:val="es-BO"/>
        </w:rPr>
        <w:t xml:space="preserve"> </w:t>
      </w:r>
      <w:r>
        <w:rPr>
          <w:lang w:val="es-BO"/>
        </w:rPr>
        <w:t xml:space="preserve">de </w:t>
      </w:r>
      <w:r w:rsidR="00AF70D1">
        <w:rPr>
          <w:lang w:val="es-BO"/>
        </w:rPr>
        <w:t xml:space="preserve">premios </w:t>
      </w:r>
      <w:r>
        <w:rPr>
          <w:lang w:val="es-BO"/>
        </w:rPr>
        <w:t>Nobel, e</w:t>
      </w:r>
      <w:r w:rsidR="00006591">
        <w:rPr>
          <w:lang w:val="es-BO"/>
        </w:rPr>
        <w:t>ntre otros</w:t>
      </w:r>
      <w:r w:rsidR="001C3951" w:rsidRPr="00A63BA6">
        <w:rPr>
          <w:lang w:val="es-BO"/>
        </w:rPr>
        <w:t>)</w:t>
      </w:r>
      <w:r w:rsidR="00006591">
        <w:rPr>
          <w:lang w:val="es-BO"/>
        </w:rPr>
        <w:t xml:space="preserve"> con pautas discursivas y públicos propios, que el profesional de la traducción debe tener en cuenta en su trabajo: no es lo mismo traducir en la órbita del periodismo, con </w:t>
      </w:r>
      <w:r>
        <w:rPr>
          <w:lang w:val="es-BO"/>
        </w:rPr>
        <w:t xml:space="preserve">su </w:t>
      </w:r>
      <w:r w:rsidR="003E0FB4">
        <w:rPr>
          <w:lang w:val="es-BO"/>
        </w:rPr>
        <w:t xml:space="preserve">abundante uso de tecnicismos </w:t>
      </w:r>
      <w:r>
        <w:rPr>
          <w:lang w:val="es-BO"/>
        </w:rPr>
        <w:t xml:space="preserve">y </w:t>
      </w:r>
      <w:r w:rsidR="00006591">
        <w:rPr>
          <w:lang w:val="es-BO"/>
        </w:rPr>
        <w:t xml:space="preserve">plazos </w:t>
      </w:r>
      <w:r>
        <w:rPr>
          <w:lang w:val="es-BO"/>
        </w:rPr>
        <w:t xml:space="preserve">apremiantes, que </w:t>
      </w:r>
      <w:r w:rsidR="00E9535F">
        <w:rPr>
          <w:lang w:val="es-BO"/>
        </w:rPr>
        <w:t xml:space="preserve">una obra de </w:t>
      </w:r>
      <w:r>
        <w:rPr>
          <w:lang w:val="es-BO"/>
        </w:rPr>
        <w:t xml:space="preserve">tenor filosófico como </w:t>
      </w:r>
      <w:r>
        <w:rPr>
          <w:i/>
          <w:iCs/>
          <w:lang w:val="es-BO"/>
        </w:rPr>
        <w:t>La riqueza de las naciones</w:t>
      </w:r>
      <w:r>
        <w:rPr>
          <w:lang w:val="es-BO"/>
        </w:rPr>
        <w:t>, de Adam Smith, o la amenidad de un libro de divulgación.</w:t>
      </w:r>
    </w:p>
    <w:p w:rsidR="001C3951" w:rsidRPr="00006591" w:rsidRDefault="00006591" w:rsidP="00404835">
      <w:pPr>
        <w:ind w:firstLine="360"/>
        <w:jc w:val="both"/>
        <w:rPr>
          <w:lang w:val="es-BO"/>
        </w:rPr>
      </w:pPr>
      <w:r>
        <w:rPr>
          <w:lang w:val="es-BO"/>
        </w:rPr>
        <w:t xml:space="preserve">Por </w:t>
      </w:r>
      <w:r w:rsidR="001C3951" w:rsidRPr="00A63BA6">
        <w:rPr>
          <w:lang w:val="es-BO"/>
        </w:rPr>
        <w:t xml:space="preserve">el otro, </w:t>
      </w:r>
      <w:r>
        <w:rPr>
          <w:lang w:val="es-BO"/>
        </w:rPr>
        <w:t>la traducción económic</w:t>
      </w:r>
      <w:r w:rsidR="00747549">
        <w:rPr>
          <w:lang w:val="es-BO"/>
        </w:rPr>
        <w:t>o-financiera</w:t>
      </w:r>
      <w:r>
        <w:rPr>
          <w:lang w:val="es-BO"/>
        </w:rPr>
        <w:t xml:space="preserve"> se inscribe </w:t>
      </w:r>
      <w:r w:rsidR="001C3951" w:rsidRPr="00A63BA6">
        <w:rPr>
          <w:lang w:val="es-BO"/>
        </w:rPr>
        <w:t>en un proceso de actualización constante que genera y modifica una gran cantidad de conceptos y terminología con una rapidez v</w:t>
      </w:r>
      <w:r w:rsidR="0082516D" w:rsidRPr="00A63BA6">
        <w:rPr>
          <w:lang w:val="es-BO"/>
        </w:rPr>
        <w:t xml:space="preserve">ertiginosa, de los que el traductor </w:t>
      </w:r>
      <w:r>
        <w:rPr>
          <w:lang w:val="es-BO"/>
        </w:rPr>
        <w:t xml:space="preserve">profesional debe estar al tanto. Por ejemplo, en los últimos años aparecieron conceptos como las criptomonedas (y todo un vocabulario basado en una analogía con la minería, </w:t>
      </w:r>
      <w:r w:rsidR="00FD1FFD">
        <w:rPr>
          <w:lang w:val="es-BO"/>
        </w:rPr>
        <w:t>aún</w:t>
      </w:r>
      <w:r>
        <w:rPr>
          <w:lang w:val="es-BO"/>
        </w:rPr>
        <w:t xml:space="preserve"> en construcción entre calcos y préstamos), el Brexit (en sus diversos tipos y términos asociados, con final abierto) y nada menos que </w:t>
      </w:r>
      <w:r w:rsidRPr="00006591">
        <w:rPr>
          <w:i/>
          <w:iCs/>
          <w:lang w:val="es-BO"/>
        </w:rPr>
        <w:t>tres</w:t>
      </w:r>
      <w:r>
        <w:rPr>
          <w:lang w:val="es-BO"/>
        </w:rPr>
        <w:t xml:space="preserve"> denominaciones de distinto cuño para el mismo operador: fondos </w:t>
      </w:r>
      <w:r>
        <w:rPr>
          <w:i/>
          <w:iCs/>
          <w:lang w:val="es-BO"/>
        </w:rPr>
        <w:t>buitres</w:t>
      </w:r>
      <w:r>
        <w:rPr>
          <w:lang w:val="es-BO"/>
        </w:rPr>
        <w:t>, fondos de cobertura/</w:t>
      </w:r>
      <w:r>
        <w:rPr>
          <w:i/>
          <w:iCs/>
          <w:lang w:val="es-BO"/>
        </w:rPr>
        <w:t>hedge funds</w:t>
      </w:r>
      <w:r>
        <w:rPr>
          <w:lang w:val="es-BO"/>
        </w:rPr>
        <w:t xml:space="preserve"> y </w:t>
      </w:r>
      <w:r>
        <w:rPr>
          <w:i/>
          <w:iCs/>
          <w:lang w:val="es-BO"/>
        </w:rPr>
        <w:t>holdouts</w:t>
      </w:r>
      <w:r>
        <w:rPr>
          <w:lang w:val="es-BO"/>
        </w:rPr>
        <w:t>. A esta dificultad podemos sumar un agravante de carácter regional: la Argentina y su principal socio comercial, Brasil, presentan sistemas económicos nacionales (impositivos, empresariales, administrativos) tan amplios como distintos. La economía y las finanzas,</w:t>
      </w:r>
      <w:r w:rsidR="00747549">
        <w:rPr>
          <w:lang w:val="es-BO"/>
        </w:rPr>
        <w:t xml:space="preserve"> entonces, plantean al traductor el desafío de adquirir una actitud profesional capaz de dar cuenta de estas dificultades.</w:t>
      </w:r>
    </w:p>
    <w:p w:rsidR="00031961" w:rsidRDefault="00031961" w:rsidP="00404835">
      <w:pPr>
        <w:ind w:firstLine="360"/>
        <w:jc w:val="both"/>
        <w:rPr>
          <w:lang w:val="es-BO"/>
        </w:rPr>
      </w:pPr>
    </w:p>
    <w:p w:rsidR="00031961" w:rsidRDefault="00031961" w:rsidP="00404835">
      <w:pPr>
        <w:ind w:firstLine="360"/>
        <w:jc w:val="both"/>
        <w:rPr>
          <w:lang w:val="es-BO"/>
        </w:rPr>
      </w:pPr>
    </w:p>
    <w:p w:rsidR="00031961" w:rsidRDefault="00031961" w:rsidP="00404835">
      <w:pPr>
        <w:ind w:firstLine="360"/>
        <w:jc w:val="both"/>
        <w:rPr>
          <w:lang w:val="es-BO"/>
        </w:rPr>
      </w:pPr>
    </w:p>
    <w:p w:rsidR="00031961" w:rsidRDefault="00031961" w:rsidP="00404835">
      <w:pPr>
        <w:ind w:firstLine="360"/>
        <w:jc w:val="both"/>
        <w:rPr>
          <w:lang w:val="es-BO"/>
        </w:rPr>
      </w:pPr>
    </w:p>
    <w:p w:rsidR="00614314" w:rsidRPr="00A63BA6" w:rsidRDefault="001C3951" w:rsidP="00031961">
      <w:pPr>
        <w:ind w:firstLine="360"/>
        <w:jc w:val="both"/>
        <w:rPr>
          <w:lang w:val="es-BO"/>
        </w:rPr>
      </w:pPr>
      <w:r w:rsidRPr="00A63BA6">
        <w:rPr>
          <w:lang w:val="es-BO"/>
        </w:rPr>
        <w:t xml:space="preserve">La presente propuesta </w:t>
      </w:r>
      <w:r w:rsidR="0028215A" w:rsidRPr="00A63BA6">
        <w:rPr>
          <w:lang w:val="es-BO"/>
        </w:rPr>
        <w:t xml:space="preserve">provee </w:t>
      </w:r>
      <w:r w:rsidR="00126ECC" w:rsidRPr="00A63BA6">
        <w:rPr>
          <w:lang w:val="es-BO"/>
        </w:rPr>
        <w:t xml:space="preserve">una </w:t>
      </w:r>
      <w:r w:rsidR="00764953" w:rsidRPr="00A63BA6">
        <w:rPr>
          <w:lang w:val="es-BO"/>
        </w:rPr>
        <w:t xml:space="preserve">base teórica inicial </w:t>
      </w:r>
      <w:r w:rsidR="0028215A" w:rsidRPr="00A63BA6">
        <w:rPr>
          <w:lang w:val="es-BO"/>
        </w:rPr>
        <w:t>y</w:t>
      </w:r>
      <w:r w:rsidR="00126ECC" w:rsidRPr="00A63BA6">
        <w:rPr>
          <w:lang w:val="es-BO"/>
        </w:rPr>
        <w:t xml:space="preserve"> </w:t>
      </w:r>
      <w:r w:rsidR="00764953" w:rsidRPr="00A63BA6">
        <w:rPr>
          <w:lang w:val="es-BO"/>
        </w:rPr>
        <w:t>a</w:t>
      </w:r>
      <w:r w:rsidR="00126ECC" w:rsidRPr="00A63BA6">
        <w:rPr>
          <w:lang w:val="es-BO"/>
        </w:rPr>
        <w:t xml:space="preserve">dopta </w:t>
      </w:r>
      <w:r w:rsidR="00764953" w:rsidRPr="00A63BA6">
        <w:rPr>
          <w:lang w:val="es-BO"/>
        </w:rPr>
        <w:t xml:space="preserve">un énfasis práctico con el objeto de </w:t>
      </w:r>
      <w:r w:rsidR="00747549">
        <w:rPr>
          <w:lang w:val="es-BO"/>
        </w:rPr>
        <w:t>brindar</w:t>
      </w:r>
      <w:r w:rsidR="00764953" w:rsidRPr="00A63BA6">
        <w:rPr>
          <w:lang w:val="es-BO"/>
        </w:rPr>
        <w:t xml:space="preserve"> conocimientos conceptuales b</w:t>
      </w:r>
      <w:r w:rsidR="00126ECC" w:rsidRPr="00A63BA6">
        <w:rPr>
          <w:lang w:val="es-BO"/>
        </w:rPr>
        <w:t xml:space="preserve">ásicos, </w:t>
      </w:r>
      <w:r w:rsidR="00195506">
        <w:rPr>
          <w:lang w:val="es-BO"/>
        </w:rPr>
        <w:t xml:space="preserve">preparar </w:t>
      </w:r>
      <w:r w:rsidR="00195506" w:rsidRPr="00A63BA6">
        <w:rPr>
          <w:lang w:val="es-BO"/>
        </w:rPr>
        <w:t xml:space="preserve">al alumno para el ejercicio profesional en el rubro </w:t>
      </w:r>
      <w:r w:rsidR="00195506">
        <w:rPr>
          <w:lang w:val="es-BO"/>
        </w:rPr>
        <w:t xml:space="preserve">y conectarlo </w:t>
      </w:r>
      <w:r w:rsidR="00126ECC" w:rsidRPr="00A63BA6">
        <w:rPr>
          <w:lang w:val="es-BO"/>
        </w:rPr>
        <w:t xml:space="preserve">con </w:t>
      </w:r>
      <w:r w:rsidR="00195506">
        <w:rPr>
          <w:lang w:val="es-BO"/>
        </w:rPr>
        <w:t xml:space="preserve">la realidad </w:t>
      </w:r>
      <w:r w:rsidR="00126ECC" w:rsidRPr="00A63BA6">
        <w:rPr>
          <w:lang w:val="es-BO"/>
        </w:rPr>
        <w:t>econ</w:t>
      </w:r>
      <w:r w:rsidR="00195506">
        <w:rPr>
          <w:lang w:val="es-BO"/>
        </w:rPr>
        <w:t>ómica que lo rodea</w:t>
      </w:r>
      <w:r w:rsidR="00764953" w:rsidRPr="00A63BA6">
        <w:rPr>
          <w:lang w:val="es-BO"/>
        </w:rPr>
        <w:t xml:space="preserve">. En el plano teórico, se propone </w:t>
      </w:r>
      <w:r w:rsidR="008352AF" w:rsidRPr="00A63BA6">
        <w:rPr>
          <w:lang w:val="es-BO"/>
        </w:rPr>
        <w:t>problematizar</w:t>
      </w:r>
      <w:r w:rsidR="00764953" w:rsidRPr="00A63BA6">
        <w:rPr>
          <w:lang w:val="es-BO"/>
        </w:rPr>
        <w:t xml:space="preserve"> </w:t>
      </w:r>
      <w:r w:rsidR="00CA77F6" w:rsidRPr="00A63BA6">
        <w:rPr>
          <w:lang w:val="es-BO"/>
        </w:rPr>
        <w:t xml:space="preserve">el paradigma </w:t>
      </w:r>
      <w:r w:rsidR="00A03683" w:rsidRPr="00A63BA6">
        <w:rPr>
          <w:lang w:val="es-BO"/>
        </w:rPr>
        <w:t>teórico que considera la economía</w:t>
      </w:r>
      <w:r w:rsidR="00CA77F6" w:rsidRPr="00A63BA6">
        <w:rPr>
          <w:lang w:val="es-BO"/>
        </w:rPr>
        <w:t xml:space="preserve"> como una ciencia exacta</w:t>
      </w:r>
      <w:r w:rsidR="00006591">
        <w:rPr>
          <w:lang w:val="es-BO"/>
        </w:rPr>
        <w:t xml:space="preserve"> y aséptica</w:t>
      </w:r>
      <w:r w:rsidR="00CA77F6" w:rsidRPr="00A63BA6">
        <w:rPr>
          <w:lang w:val="es-BO"/>
        </w:rPr>
        <w:t xml:space="preserve"> para plantearla como una ciencia </w:t>
      </w:r>
      <w:r w:rsidR="00CA77F6" w:rsidRPr="00A63BA6">
        <w:rPr>
          <w:i/>
          <w:iCs/>
          <w:lang w:val="es-BO"/>
        </w:rPr>
        <w:t>social,</w:t>
      </w:r>
      <w:r w:rsidR="00CA77F6" w:rsidRPr="00A63BA6">
        <w:rPr>
          <w:lang w:val="es-BO"/>
        </w:rPr>
        <w:t xml:space="preserve"> </w:t>
      </w:r>
      <w:r w:rsidR="00A03683" w:rsidRPr="00A63BA6">
        <w:rPr>
          <w:lang w:val="es-BO"/>
        </w:rPr>
        <w:t>empírica</w:t>
      </w:r>
      <w:r w:rsidR="00CA77F6" w:rsidRPr="00A63BA6">
        <w:rPr>
          <w:lang w:val="es-BO"/>
        </w:rPr>
        <w:t xml:space="preserve"> y </w:t>
      </w:r>
      <w:r w:rsidR="00A03683" w:rsidRPr="00A63BA6">
        <w:rPr>
          <w:lang w:val="es-BO"/>
        </w:rPr>
        <w:t xml:space="preserve">en </w:t>
      </w:r>
      <w:r w:rsidR="00CA77F6" w:rsidRPr="00A63BA6">
        <w:rPr>
          <w:lang w:val="es-BO"/>
        </w:rPr>
        <w:t>estrecha</w:t>
      </w:r>
      <w:r w:rsidR="00031961">
        <w:rPr>
          <w:lang w:val="es-BO"/>
        </w:rPr>
        <w:t xml:space="preserve"> </w:t>
      </w:r>
      <w:r w:rsidR="00CA77F6" w:rsidRPr="00A63BA6">
        <w:rPr>
          <w:lang w:val="es-BO"/>
        </w:rPr>
        <w:t>conexión con el mundo exterio</w:t>
      </w:r>
      <w:r w:rsidR="00764953" w:rsidRPr="00A63BA6">
        <w:rPr>
          <w:lang w:val="es-BO"/>
        </w:rPr>
        <w:t>r</w:t>
      </w:r>
      <w:r w:rsidR="00135C5B">
        <w:rPr>
          <w:lang w:val="es-BO"/>
        </w:rPr>
        <w:t xml:space="preserve"> (GUERRERO, 2001)</w:t>
      </w:r>
      <w:r w:rsidR="00764953" w:rsidRPr="00A63BA6">
        <w:rPr>
          <w:lang w:val="es-BO"/>
        </w:rPr>
        <w:t xml:space="preserve">, </w:t>
      </w:r>
      <w:r w:rsidR="00FC55B6">
        <w:rPr>
          <w:lang w:val="es-BO"/>
        </w:rPr>
        <w:t>a partir de</w:t>
      </w:r>
      <w:r w:rsidR="00764953" w:rsidRPr="00A63BA6">
        <w:rPr>
          <w:lang w:val="es-BO"/>
        </w:rPr>
        <w:t xml:space="preserve"> lo cual se </w:t>
      </w:r>
      <w:r w:rsidR="00CA77F6" w:rsidRPr="00A63BA6">
        <w:rPr>
          <w:lang w:val="es-BO"/>
        </w:rPr>
        <w:t xml:space="preserve">presentan </w:t>
      </w:r>
      <w:r w:rsidR="00764953" w:rsidRPr="00A63BA6">
        <w:rPr>
          <w:lang w:val="es-BO"/>
        </w:rPr>
        <w:t>y contextualizan las teorías fundamentales (liberalismo, neoliberalismo, marxismo, keynesianismo)</w:t>
      </w:r>
      <w:r w:rsidR="00006591">
        <w:rPr>
          <w:lang w:val="es-BO"/>
        </w:rPr>
        <w:t xml:space="preserve"> enfatizando </w:t>
      </w:r>
      <w:r w:rsidR="00747549">
        <w:rPr>
          <w:lang w:val="es-BO"/>
        </w:rPr>
        <w:t>esa conexión con la vida cotidiana y lo que se ve en las noticias</w:t>
      </w:r>
      <w:r w:rsidR="00764953" w:rsidRPr="00A63BA6">
        <w:rPr>
          <w:lang w:val="es-BO"/>
        </w:rPr>
        <w:t xml:space="preserve">. </w:t>
      </w:r>
      <w:r w:rsidR="0028215A" w:rsidRPr="00A63BA6">
        <w:rPr>
          <w:lang w:val="es-BO"/>
        </w:rPr>
        <w:t xml:space="preserve">En </w:t>
      </w:r>
      <w:r w:rsidR="00CA77F6" w:rsidRPr="00A63BA6">
        <w:rPr>
          <w:lang w:val="es-BO"/>
        </w:rPr>
        <w:t xml:space="preserve">el plano de la práctica, se apunta a desarrollar las habilidades </w:t>
      </w:r>
      <w:r w:rsidR="00764953" w:rsidRPr="00A63BA6">
        <w:rPr>
          <w:lang w:val="es-BO"/>
        </w:rPr>
        <w:t>profesionales</w:t>
      </w:r>
      <w:r w:rsidR="00CA77F6" w:rsidRPr="00A63BA6">
        <w:rPr>
          <w:lang w:val="es-BO"/>
        </w:rPr>
        <w:t xml:space="preserve"> necesarias para dar cuenta de la </w:t>
      </w:r>
      <w:r w:rsidR="00764953" w:rsidRPr="00A63BA6">
        <w:rPr>
          <w:lang w:val="es-BO"/>
        </w:rPr>
        <w:t xml:space="preserve">traducción económico-financiera a través de </w:t>
      </w:r>
      <w:r w:rsidR="00126ECC" w:rsidRPr="00A63BA6">
        <w:rPr>
          <w:lang w:val="es-BO"/>
        </w:rPr>
        <w:t xml:space="preserve">la </w:t>
      </w:r>
      <w:r w:rsidR="00764953" w:rsidRPr="00A63BA6">
        <w:rPr>
          <w:lang w:val="es-BO"/>
        </w:rPr>
        <w:t xml:space="preserve">ejercitación </w:t>
      </w:r>
      <w:r w:rsidR="00126ECC" w:rsidRPr="00A63BA6">
        <w:rPr>
          <w:lang w:val="es-BO"/>
        </w:rPr>
        <w:t xml:space="preserve">periódica </w:t>
      </w:r>
      <w:r w:rsidR="00764953" w:rsidRPr="00A63BA6">
        <w:rPr>
          <w:lang w:val="es-BO"/>
        </w:rPr>
        <w:t xml:space="preserve">de diversos </w:t>
      </w:r>
      <w:r w:rsidR="00747549">
        <w:rPr>
          <w:lang w:val="es-BO"/>
        </w:rPr>
        <w:t>géneros textuales</w:t>
      </w:r>
      <w:r w:rsidR="00764953" w:rsidRPr="00A63BA6">
        <w:rPr>
          <w:lang w:val="es-BO"/>
        </w:rPr>
        <w:t xml:space="preserve">, </w:t>
      </w:r>
      <w:r w:rsidR="00126ECC" w:rsidRPr="00A63BA6">
        <w:rPr>
          <w:lang w:val="es-BO"/>
        </w:rPr>
        <w:t xml:space="preserve">la </w:t>
      </w:r>
      <w:r w:rsidR="00BA3053" w:rsidRPr="00A63BA6">
        <w:rPr>
          <w:lang w:val="es-BO"/>
        </w:rPr>
        <w:t xml:space="preserve">discusión </w:t>
      </w:r>
      <w:r w:rsidR="00126ECC" w:rsidRPr="00A63BA6">
        <w:rPr>
          <w:lang w:val="es-BO"/>
        </w:rPr>
        <w:t xml:space="preserve">de elementos y criterios de búsqueda terminológica para la resolución de problemas, </w:t>
      </w:r>
      <w:r w:rsidR="00764953" w:rsidRPr="00A63BA6">
        <w:rPr>
          <w:lang w:val="es-BO"/>
        </w:rPr>
        <w:t>la construcción de un glosario de terminolog</w:t>
      </w:r>
      <w:r w:rsidR="00A03683" w:rsidRPr="00A63BA6">
        <w:rPr>
          <w:lang w:val="es-BO"/>
        </w:rPr>
        <w:t xml:space="preserve">ía </w:t>
      </w:r>
      <w:r w:rsidR="00764953" w:rsidRPr="00A63BA6">
        <w:rPr>
          <w:lang w:val="es-BO"/>
        </w:rPr>
        <w:t xml:space="preserve">y el análisis de </w:t>
      </w:r>
      <w:r w:rsidR="00126ECC" w:rsidRPr="00A63BA6">
        <w:rPr>
          <w:lang w:val="es-BO"/>
        </w:rPr>
        <w:t xml:space="preserve">situaciones </w:t>
      </w:r>
      <w:r w:rsidR="00A03683" w:rsidRPr="00A63BA6">
        <w:rPr>
          <w:lang w:val="es-BO"/>
        </w:rPr>
        <w:t xml:space="preserve">económicas </w:t>
      </w:r>
      <w:r w:rsidR="00126ECC" w:rsidRPr="00A63BA6">
        <w:rPr>
          <w:lang w:val="es-BO"/>
        </w:rPr>
        <w:t>de la Argentina y el mundo.</w:t>
      </w:r>
    </w:p>
    <w:p w:rsidR="00126ECC" w:rsidRPr="00A63BA6" w:rsidRDefault="00126ECC" w:rsidP="00404835">
      <w:pPr>
        <w:ind w:firstLine="360"/>
        <w:jc w:val="both"/>
        <w:rPr>
          <w:lang w:val="es-BO"/>
        </w:rPr>
      </w:pPr>
      <w:r w:rsidRPr="00A63BA6">
        <w:rPr>
          <w:lang w:val="es-BO"/>
        </w:rPr>
        <w:t xml:space="preserve">Esta propuesta valora el </w:t>
      </w:r>
      <w:r w:rsidR="00BA3053" w:rsidRPr="00A63BA6">
        <w:rPr>
          <w:lang w:val="es-BO"/>
        </w:rPr>
        <w:t>desarrollo profesional del alumno a través de un trabajo sostenido y progresivo</w:t>
      </w:r>
      <w:r w:rsidR="0028215A" w:rsidRPr="00A63BA6">
        <w:rPr>
          <w:lang w:val="es-BO"/>
        </w:rPr>
        <w:t xml:space="preserve"> y </w:t>
      </w:r>
      <w:r w:rsidR="00BA3053" w:rsidRPr="00A63BA6">
        <w:rPr>
          <w:lang w:val="es-BO"/>
        </w:rPr>
        <w:t xml:space="preserve">busca </w:t>
      </w:r>
      <w:r w:rsidR="0028215A" w:rsidRPr="00A63BA6">
        <w:rPr>
          <w:lang w:val="es-BO"/>
        </w:rPr>
        <w:t xml:space="preserve">despertar </w:t>
      </w:r>
      <w:r w:rsidR="00BA3053" w:rsidRPr="00A63BA6">
        <w:rPr>
          <w:lang w:val="es-BO"/>
        </w:rPr>
        <w:t xml:space="preserve">su </w:t>
      </w:r>
      <w:r w:rsidR="008352AF" w:rsidRPr="00A63BA6">
        <w:rPr>
          <w:lang w:val="es-BO"/>
        </w:rPr>
        <w:t xml:space="preserve">interés por </w:t>
      </w:r>
      <w:r w:rsidR="0028215A" w:rsidRPr="00A63BA6">
        <w:rPr>
          <w:lang w:val="es-BO"/>
        </w:rPr>
        <w:t xml:space="preserve">la realidad que lo rodea y desarrollar su </w:t>
      </w:r>
      <w:r w:rsidR="00BA3053" w:rsidRPr="00A63BA6">
        <w:rPr>
          <w:lang w:val="es-BO"/>
        </w:rPr>
        <w:t>capacidad para fijar criterios de trabajo y orientarse por ellos.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A63BA6" w:rsidRDefault="00614314" w:rsidP="00BA3053">
      <w:pPr>
        <w:numPr>
          <w:ilvl w:val="0"/>
          <w:numId w:val="2"/>
        </w:numPr>
        <w:jc w:val="both"/>
        <w:rPr>
          <w:rFonts w:cs="Arial"/>
          <w:lang w:val="es-BO"/>
        </w:rPr>
      </w:pPr>
      <w:r w:rsidRPr="00A63BA6">
        <w:rPr>
          <w:rFonts w:cs="Arial"/>
          <w:b/>
          <w:lang w:val="es-BO"/>
        </w:rPr>
        <w:t>Objetivos generales</w:t>
      </w:r>
    </w:p>
    <w:p w:rsidR="00BA3053" w:rsidRPr="00A63BA6" w:rsidRDefault="00BA3053" w:rsidP="00BA3053">
      <w:pPr>
        <w:jc w:val="both"/>
        <w:rPr>
          <w:rFonts w:cs="Arial"/>
          <w:lang w:val="es-BO"/>
        </w:rPr>
      </w:pPr>
    </w:p>
    <w:p w:rsidR="00126ECC" w:rsidRPr="00A63BA6" w:rsidRDefault="00126ECC" w:rsidP="00126ECC">
      <w:pPr>
        <w:numPr>
          <w:ilvl w:val="0"/>
          <w:numId w:val="12"/>
        </w:numPr>
        <w:jc w:val="both"/>
        <w:rPr>
          <w:lang w:val="es-BO"/>
        </w:rPr>
      </w:pPr>
      <w:r w:rsidRPr="00A63BA6">
        <w:rPr>
          <w:rFonts w:eastAsia="Calibri"/>
          <w:color w:val="000000"/>
          <w:lang w:val="es-BO" w:eastAsia="en-US"/>
        </w:rPr>
        <w:t xml:space="preserve">Desarrollar estrategias para adquirir conocimientos específicos del área económico-financiera; </w:t>
      </w:r>
    </w:p>
    <w:p w:rsidR="00126ECC" w:rsidRPr="00A63BA6" w:rsidRDefault="00126ECC" w:rsidP="00126ECC">
      <w:pPr>
        <w:numPr>
          <w:ilvl w:val="0"/>
          <w:numId w:val="12"/>
        </w:numPr>
        <w:jc w:val="both"/>
        <w:rPr>
          <w:lang w:val="es-BO"/>
        </w:rPr>
      </w:pPr>
      <w:r w:rsidRPr="00A63BA6">
        <w:rPr>
          <w:rFonts w:eastAsia="Calibri"/>
          <w:color w:val="000000"/>
          <w:lang w:val="es-BO" w:eastAsia="en-US"/>
        </w:rPr>
        <w:t xml:space="preserve">Entrenarse en la traducción de distintos </w:t>
      </w:r>
      <w:r w:rsidR="00747549">
        <w:rPr>
          <w:lang w:val="es-BO"/>
        </w:rPr>
        <w:t>géneros textuales</w:t>
      </w:r>
      <w:r w:rsidR="00747549" w:rsidRPr="00A63BA6">
        <w:rPr>
          <w:rFonts w:eastAsia="Calibri"/>
          <w:color w:val="000000"/>
          <w:lang w:val="es-BO" w:eastAsia="en-US"/>
        </w:rPr>
        <w:t xml:space="preserve"> </w:t>
      </w:r>
      <w:r w:rsidRPr="00A63BA6">
        <w:rPr>
          <w:rFonts w:eastAsia="Calibri"/>
          <w:color w:val="000000"/>
          <w:lang w:val="es-BO" w:eastAsia="en-US"/>
        </w:rPr>
        <w:t>y discursivos y en la resolución de problemas terminológicos del área.</w:t>
      </w:r>
    </w:p>
    <w:p w:rsidR="00126ECC" w:rsidRPr="00A63BA6" w:rsidRDefault="00126ECC" w:rsidP="00126ECC">
      <w:pPr>
        <w:ind w:left="720"/>
        <w:jc w:val="both"/>
        <w:rPr>
          <w:lang w:val="es-BO"/>
        </w:rPr>
      </w:pPr>
    </w:p>
    <w:p w:rsidR="00614314" w:rsidRPr="00A63BA6" w:rsidRDefault="00614314" w:rsidP="00092A4E">
      <w:pPr>
        <w:jc w:val="both"/>
        <w:rPr>
          <w:rFonts w:cs="Arial"/>
          <w:lang w:val="es-BO"/>
        </w:rPr>
      </w:pPr>
      <w:r w:rsidRPr="00A63BA6">
        <w:rPr>
          <w:rFonts w:cs="Arial"/>
          <w:b/>
          <w:lang w:val="es-BO"/>
        </w:rPr>
        <w:t>3- Objetivos específicos</w:t>
      </w:r>
      <w:r w:rsidRPr="00A63BA6">
        <w:rPr>
          <w:rFonts w:cs="Arial"/>
          <w:lang w:val="es-BO"/>
        </w:rPr>
        <w:t xml:space="preserve"> </w:t>
      </w:r>
    </w:p>
    <w:p w:rsidR="00A03683" w:rsidRPr="00A63BA6" w:rsidRDefault="00A03683" w:rsidP="00782A8C">
      <w:pPr>
        <w:jc w:val="both"/>
        <w:rPr>
          <w:lang w:val="es-BO"/>
        </w:rPr>
      </w:pPr>
    </w:p>
    <w:p w:rsidR="00A03683" w:rsidRPr="00A63BA6" w:rsidRDefault="00A03683" w:rsidP="00A03683">
      <w:pPr>
        <w:numPr>
          <w:ilvl w:val="0"/>
          <w:numId w:val="12"/>
        </w:numPr>
        <w:jc w:val="both"/>
        <w:rPr>
          <w:lang w:val="es-BO"/>
        </w:rPr>
      </w:pPr>
      <w:r w:rsidRPr="00A63BA6">
        <w:rPr>
          <w:lang w:val="es-BO"/>
        </w:rPr>
        <w:t>Incorporar conocimientos conceptuales básicos sobre los elementos constitutivos y el funcionamiento de la economía y las finanzas.</w:t>
      </w:r>
    </w:p>
    <w:p w:rsidR="00A03683" w:rsidRPr="00A63BA6" w:rsidRDefault="00A03683" w:rsidP="00A03683">
      <w:pPr>
        <w:numPr>
          <w:ilvl w:val="0"/>
          <w:numId w:val="12"/>
        </w:numPr>
        <w:jc w:val="both"/>
        <w:rPr>
          <w:lang w:val="es-BO"/>
        </w:rPr>
      </w:pPr>
      <w:r w:rsidRPr="00A63BA6">
        <w:rPr>
          <w:lang w:val="es-BO"/>
        </w:rPr>
        <w:t>Desarrollar la capacidad de establecer criterios de búsqueda terminológica.</w:t>
      </w:r>
    </w:p>
    <w:p w:rsidR="00A03683" w:rsidRDefault="00A03683" w:rsidP="00A03683">
      <w:pPr>
        <w:numPr>
          <w:ilvl w:val="0"/>
          <w:numId w:val="12"/>
        </w:numPr>
        <w:jc w:val="both"/>
        <w:rPr>
          <w:lang w:val="es-BO"/>
        </w:rPr>
      </w:pPr>
      <w:r w:rsidRPr="00A63BA6">
        <w:rPr>
          <w:lang w:val="es-BO"/>
        </w:rPr>
        <w:t xml:space="preserve">Ejercitar las competencias de escritura para la redacción de </w:t>
      </w:r>
      <w:r w:rsidR="00747549">
        <w:rPr>
          <w:lang w:val="es-BO"/>
        </w:rPr>
        <w:t>géneros textuales</w:t>
      </w:r>
      <w:r w:rsidR="00747549" w:rsidRPr="00A63BA6">
        <w:rPr>
          <w:lang w:val="es-BO"/>
        </w:rPr>
        <w:t xml:space="preserve"> </w:t>
      </w:r>
      <w:r w:rsidRPr="00A63BA6">
        <w:rPr>
          <w:lang w:val="es-BO"/>
        </w:rPr>
        <w:t>económicos, contables y financieros.</w:t>
      </w:r>
    </w:p>
    <w:p w:rsidR="00782A8C" w:rsidRPr="00A63BA6" w:rsidRDefault="00782A8C" w:rsidP="00A03683">
      <w:pPr>
        <w:numPr>
          <w:ilvl w:val="0"/>
          <w:numId w:val="12"/>
        </w:numPr>
        <w:jc w:val="both"/>
        <w:rPr>
          <w:lang w:val="es-BO"/>
        </w:rPr>
      </w:pPr>
      <w:r>
        <w:rPr>
          <w:lang w:val="es-BO"/>
        </w:rPr>
        <w:t xml:space="preserve">Desarrollar un </w:t>
      </w:r>
      <w:r>
        <w:rPr>
          <w:i/>
          <w:iCs/>
          <w:lang w:val="es-BO"/>
        </w:rPr>
        <w:t>corpus</w:t>
      </w:r>
      <w:r>
        <w:rPr>
          <w:lang w:val="es-BO"/>
        </w:rPr>
        <w:t xml:space="preserve"> terminológico básico en un glosario.</w:t>
      </w:r>
    </w:p>
    <w:p w:rsidR="00A03683" w:rsidRDefault="00A03683" w:rsidP="00782A8C">
      <w:pPr>
        <w:numPr>
          <w:ilvl w:val="0"/>
          <w:numId w:val="12"/>
        </w:numPr>
        <w:jc w:val="both"/>
        <w:rPr>
          <w:lang w:val="es-BO"/>
        </w:rPr>
      </w:pPr>
      <w:r w:rsidRPr="00A63BA6">
        <w:rPr>
          <w:lang w:val="es-BO"/>
        </w:rPr>
        <w:t>Conectar al alumno con la realidad cotidiana de la economía y las finanzas.</w:t>
      </w:r>
    </w:p>
    <w:p w:rsidR="00782A8C" w:rsidRPr="00782A8C" w:rsidRDefault="00782A8C" w:rsidP="00782A8C">
      <w:pPr>
        <w:ind w:left="720"/>
        <w:jc w:val="both"/>
        <w:rPr>
          <w:lang w:val="es-BO"/>
        </w:rPr>
      </w:pPr>
    </w:p>
    <w:p w:rsidR="00614314" w:rsidRPr="00A63BA6" w:rsidRDefault="00614314" w:rsidP="00092A4E">
      <w:pPr>
        <w:jc w:val="both"/>
        <w:rPr>
          <w:b/>
          <w:bCs/>
          <w:lang w:val="es-BO"/>
        </w:rPr>
      </w:pPr>
      <w:r w:rsidRPr="00A63BA6">
        <w:rPr>
          <w:b/>
          <w:bCs/>
          <w:lang w:val="es-BO"/>
        </w:rPr>
        <w:t>4- Contenidos mínimos</w:t>
      </w:r>
    </w:p>
    <w:p w:rsidR="00BA3053" w:rsidRPr="00A63BA6" w:rsidRDefault="00BA3053" w:rsidP="00BA3053">
      <w:pPr>
        <w:ind w:left="720"/>
        <w:jc w:val="both"/>
        <w:rPr>
          <w:rFonts w:eastAsia="Calibri"/>
          <w:color w:val="000000"/>
          <w:lang w:val="es-BO" w:eastAsia="en-US"/>
        </w:rPr>
      </w:pPr>
    </w:p>
    <w:p w:rsidR="00BA3053" w:rsidRPr="00A63BA6" w:rsidRDefault="00BA3053" w:rsidP="00BA3053">
      <w:pPr>
        <w:numPr>
          <w:ilvl w:val="0"/>
          <w:numId w:val="12"/>
        </w:numPr>
        <w:jc w:val="both"/>
        <w:rPr>
          <w:rFonts w:eastAsia="Calibri"/>
          <w:color w:val="000000"/>
          <w:lang w:val="es-BO" w:eastAsia="en-US"/>
        </w:rPr>
      </w:pPr>
      <w:r w:rsidRPr="00A63BA6">
        <w:rPr>
          <w:rFonts w:eastAsia="Calibri"/>
          <w:color w:val="000000"/>
          <w:lang w:val="es-BO" w:eastAsia="en-US"/>
        </w:rPr>
        <w:t xml:space="preserve">Estrategias de apropiación de conocimientos conceptuales relacionados con las siguientes áreas: macroeconomía (economía de las naciones, PBI, ingreso per capita, tasa de desempleo, capacidad ociosa, etc.); comercio exterior (la </w:t>
      </w:r>
      <w:r w:rsidRPr="00A63BA6">
        <w:rPr>
          <w:rFonts w:eastAsia="Calibri"/>
          <w:color w:val="000000"/>
          <w:lang w:val="es-BO" w:eastAsia="en-US"/>
        </w:rPr>
        <w:lastRenderedPageBreak/>
        <w:t>Organización Mundial del Comercio, bloques de naciones: Mercosur, Unión Europea; las herramientas del comercio exterior, la estandarización, los Incoterms; terminología prescripta para el Mercosur); la economía de la empresa (rubros, actividades y ciclos de la empresa, la documentación, la contabilidad, el comercio electrónico, la localización, la redacción comercial); las finanzas (el crédito, los bancos, el mercado de capitales, la Bolsa).</w:t>
      </w:r>
    </w:p>
    <w:p w:rsidR="00BA3053" w:rsidRPr="00A63BA6" w:rsidRDefault="00BA3053" w:rsidP="00BA3053">
      <w:pPr>
        <w:numPr>
          <w:ilvl w:val="0"/>
          <w:numId w:val="12"/>
        </w:numPr>
        <w:jc w:val="both"/>
        <w:rPr>
          <w:rFonts w:eastAsia="Calibri"/>
          <w:color w:val="000000"/>
          <w:lang w:val="es-BO" w:eastAsia="en-US"/>
        </w:rPr>
      </w:pPr>
      <w:r w:rsidRPr="00A63BA6">
        <w:rPr>
          <w:rFonts w:eastAsia="Calibri"/>
          <w:color w:val="000000"/>
          <w:lang w:val="es-BO" w:eastAsia="en-US"/>
        </w:rPr>
        <w:t>Utilización de las herramientas adquiridas en Elementos de terminología y búsqueda documentaria y en Herramientas informáticas en función de la traducción de los siguientes tipos textuales: informes económicos, relevamientos, artículos periodísticos especializados, balances y memorias, correspondencia, publicidad, estudios de marketing.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A63BA6" w:rsidRDefault="00614314" w:rsidP="00092A4E">
      <w:pPr>
        <w:jc w:val="both"/>
        <w:rPr>
          <w:b/>
          <w:bCs/>
          <w:lang w:val="es-BO"/>
        </w:rPr>
      </w:pPr>
      <w:r w:rsidRPr="00A63BA6">
        <w:rPr>
          <w:b/>
          <w:bCs/>
          <w:lang w:val="es-BO"/>
        </w:rPr>
        <w:t>5- Contenidos</w:t>
      </w:r>
      <w:r w:rsidR="00D11222">
        <w:rPr>
          <w:b/>
          <w:bCs/>
          <w:lang w:val="es-BO"/>
        </w:rPr>
        <w:t>: organización y secuenciación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A63BA6" w:rsidRDefault="008352AF" w:rsidP="00092A4E">
      <w:pPr>
        <w:jc w:val="both"/>
        <w:rPr>
          <w:b/>
          <w:bCs/>
          <w:lang w:val="es-BO"/>
        </w:rPr>
      </w:pPr>
      <w:r w:rsidRPr="00A63BA6">
        <w:rPr>
          <w:b/>
          <w:bCs/>
          <w:lang w:val="es-BO"/>
        </w:rPr>
        <w:t xml:space="preserve">Unidad </w:t>
      </w:r>
      <w:r w:rsidR="00614314" w:rsidRPr="00A63BA6">
        <w:rPr>
          <w:b/>
          <w:bCs/>
          <w:lang w:val="es-BO"/>
        </w:rPr>
        <w:t xml:space="preserve">1. </w:t>
      </w:r>
      <w:r w:rsidRPr="00A63BA6">
        <w:rPr>
          <w:b/>
          <w:bCs/>
          <w:lang w:val="es-BO"/>
        </w:rPr>
        <w:t>Definición de economía. Teorías.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A63BA6" w:rsidRDefault="00BA3053" w:rsidP="00092A4E">
      <w:pPr>
        <w:numPr>
          <w:ilvl w:val="0"/>
          <w:numId w:val="7"/>
        </w:numPr>
        <w:jc w:val="both"/>
        <w:rPr>
          <w:lang w:val="es-BO"/>
        </w:rPr>
      </w:pPr>
      <w:r w:rsidRPr="00A63BA6">
        <w:rPr>
          <w:lang w:val="es-BO"/>
        </w:rPr>
        <w:t xml:space="preserve">Qué es la economía. Características de la economía como ciencia social. Economía vs. Economía Política. </w:t>
      </w:r>
    </w:p>
    <w:p w:rsidR="00BA3053" w:rsidRPr="00A63BA6" w:rsidRDefault="00BA3053" w:rsidP="00092A4E">
      <w:pPr>
        <w:numPr>
          <w:ilvl w:val="0"/>
          <w:numId w:val="7"/>
        </w:numPr>
        <w:jc w:val="both"/>
        <w:rPr>
          <w:lang w:val="es-BO"/>
        </w:rPr>
      </w:pPr>
      <w:r w:rsidRPr="00A63BA6">
        <w:rPr>
          <w:lang w:val="es-BO"/>
        </w:rPr>
        <w:t>Visión ortodoxa</w:t>
      </w:r>
      <w:r w:rsidR="0028215A" w:rsidRPr="00A63BA6">
        <w:rPr>
          <w:lang w:val="es-BO"/>
        </w:rPr>
        <w:t xml:space="preserve"> y </w:t>
      </w:r>
      <w:r w:rsidR="00AF70D1">
        <w:rPr>
          <w:lang w:val="es-BO"/>
        </w:rPr>
        <w:t>heterodoxa</w:t>
      </w:r>
      <w:r w:rsidR="0028215A" w:rsidRPr="00A63BA6">
        <w:rPr>
          <w:lang w:val="es-BO"/>
        </w:rPr>
        <w:t xml:space="preserve"> de la economía: mercados vs. producción.</w:t>
      </w:r>
    </w:p>
    <w:p w:rsidR="0028215A" w:rsidRPr="00A63BA6" w:rsidRDefault="00BA3053" w:rsidP="00092A4E">
      <w:pPr>
        <w:numPr>
          <w:ilvl w:val="0"/>
          <w:numId w:val="7"/>
        </w:numPr>
        <w:jc w:val="both"/>
        <w:rPr>
          <w:lang w:val="es-BO"/>
        </w:rPr>
      </w:pPr>
      <w:r w:rsidRPr="00A63BA6">
        <w:rPr>
          <w:lang w:val="es-BO"/>
        </w:rPr>
        <w:t xml:space="preserve">Historia de la economía. </w:t>
      </w:r>
      <w:r w:rsidR="0028215A" w:rsidRPr="00A63BA6">
        <w:rPr>
          <w:lang w:val="es-BO"/>
        </w:rPr>
        <w:t xml:space="preserve">Concepto de economía en </w:t>
      </w:r>
      <w:r w:rsidRPr="00A63BA6">
        <w:rPr>
          <w:lang w:val="es-BO"/>
        </w:rPr>
        <w:t>A</w:t>
      </w:r>
      <w:r w:rsidR="0028215A" w:rsidRPr="00A63BA6">
        <w:rPr>
          <w:lang w:val="es-BO"/>
        </w:rPr>
        <w:t xml:space="preserve">ristóteles, liberalismo económico clásico de Adam Smith, </w:t>
      </w:r>
      <w:r w:rsidR="008352AF" w:rsidRPr="00A63BA6">
        <w:rPr>
          <w:lang w:val="es-BO"/>
        </w:rPr>
        <w:t>crítica de la economía política en Marx.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A63BA6" w:rsidRDefault="008352AF" w:rsidP="00092A4E">
      <w:pPr>
        <w:jc w:val="both"/>
        <w:rPr>
          <w:b/>
          <w:bCs/>
          <w:lang w:val="es-BO"/>
        </w:rPr>
      </w:pPr>
      <w:r w:rsidRPr="00A63BA6">
        <w:rPr>
          <w:b/>
          <w:bCs/>
          <w:lang w:val="es-BO"/>
        </w:rPr>
        <w:t xml:space="preserve">Unidad </w:t>
      </w:r>
      <w:r w:rsidR="00614314" w:rsidRPr="00A63BA6">
        <w:rPr>
          <w:b/>
          <w:bCs/>
          <w:lang w:val="es-BO"/>
        </w:rPr>
        <w:t xml:space="preserve">2. </w:t>
      </w:r>
      <w:r w:rsidRPr="00A63BA6">
        <w:rPr>
          <w:b/>
          <w:bCs/>
          <w:lang w:val="es-BO"/>
        </w:rPr>
        <w:t>Economía de la empresa</w:t>
      </w:r>
      <w:r w:rsidR="00A03683" w:rsidRPr="00A63BA6">
        <w:rPr>
          <w:b/>
          <w:bCs/>
          <w:lang w:val="es-BO"/>
        </w:rPr>
        <w:t>. Microeconomía.</w:t>
      </w:r>
    </w:p>
    <w:p w:rsidR="00A63BA6" w:rsidRPr="00A63BA6" w:rsidRDefault="00A63BA6" w:rsidP="00092A4E">
      <w:pPr>
        <w:jc w:val="both"/>
        <w:rPr>
          <w:lang w:val="es-BO"/>
        </w:rPr>
      </w:pPr>
    </w:p>
    <w:p w:rsidR="00A63BA6" w:rsidRDefault="00A63BA6" w:rsidP="00092A4E">
      <w:pPr>
        <w:numPr>
          <w:ilvl w:val="0"/>
          <w:numId w:val="7"/>
        </w:numPr>
        <w:jc w:val="both"/>
        <w:rPr>
          <w:lang w:val="es-BO"/>
        </w:rPr>
      </w:pPr>
      <w:r w:rsidRPr="00A63BA6">
        <w:rPr>
          <w:lang w:val="es-BO"/>
        </w:rPr>
        <w:t xml:space="preserve">Concepto de sociedad comercial. Tipología y estructuras. La </w:t>
      </w:r>
      <w:r w:rsidRPr="00A63BA6">
        <w:rPr>
          <w:i/>
          <w:iCs/>
          <w:lang w:val="es-BO"/>
        </w:rPr>
        <w:t>C-suite</w:t>
      </w:r>
      <w:r w:rsidR="00DC4F2C">
        <w:rPr>
          <w:lang w:val="es-BO"/>
        </w:rPr>
        <w:t xml:space="preserve"> (CEO, CFO, CIO, COO).</w:t>
      </w:r>
      <w:r w:rsidR="00FC55B6">
        <w:rPr>
          <w:lang w:val="es-BO"/>
        </w:rPr>
        <w:t xml:space="preserve"> Cadena de valor.</w:t>
      </w:r>
    </w:p>
    <w:p w:rsidR="00782A8C" w:rsidRPr="00A63BA6" w:rsidRDefault="00782A8C" w:rsidP="00092A4E">
      <w:pPr>
        <w:numPr>
          <w:ilvl w:val="0"/>
          <w:numId w:val="7"/>
        </w:numPr>
        <w:jc w:val="both"/>
        <w:rPr>
          <w:lang w:val="es-BO"/>
        </w:rPr>
      </w:pPr>
      <w:r>
        <w:rPr>
          <w:lang w:val="es-BO"/>
        </w:rPr>
        <w:t>Comercio electrónico.</w:t>
      </w:r>
    </w:p>
    <w:p w:rsidR="00A63BA6" w:rsidRDefault="00A63BA6" w:rsidP="00092A4E">
      <w:pPr>
        <w:numPr>
          <w:ilvl w:val="0"/>
          <w:numId w:val="7"/>
        </w:numPr>
        <w:jc w:val="both"/>
        <w:rPr>
          <w:lang w:val="es-BO"/>
        </w:rPr>
      </w:pPr>
      <w:r w:rsidRPr="00A63BA6">
        <w:rPr>
          <w:lang w:val="es-BO"/>
        </w:rPr>
        <w:t>Documentos empresariales: balance contable, informe trimestral</w:t>
      </w:r>
      <w:r w:rsidR="00DC4F2C">
        <w:rPr>
          <w:lang w:val="es-BO"/>
        </w:rPr>
        <w:t>, análisis de investigación</w:t>
      </w:r>
      <w:r w:rsidR="00747549">
        <w:rPr>
          <w:lang w:val="es-BO"/>
        </w:rPr>
        <w:t>, espionaje empresarial.</w:t>
      </w:r>
    </w:p>
    <w:p w:rsidR="00DC4F2C" w:rsidRPr="00A63BA6" w:rsidRDefault="00DC4F2C" w:rsidP="00092A4E">
      <w:pPr>
        <w:numPr>
          <w:ilvl w:val="0"/>
          <w:numId w:val="7"/>
        </w:numPr>
        <w:jc w:val="both"/>
        <w:rPr>
          <w:lang w:val="es-BO"/>
        </w:rPr>
      </w:pPr>
      <w:r>
        <w:rPr>
          <w:lang w:val="es-BO"/>
        </w:rPr>
        <w:t>Concepto de microeconomía.</w:t>
      </w:r>
    </w:p>
    <w:p w:rsidR="00747549" w:rsidRPr="00747549" w:rsidRDefault="00747549" w:rsidP="00747549">
      <w:pPr>
        <w:jc w:val="both"/>
        <w:rPr>
          <w:b/>
          <w:bCs/>
          <w:lang w:val="es-BO"/>
        </w:rPr>
      </w:pPr>
    </w:p>
    <w:p w:rsidR="00614314" w:rsidRPr="00A63BA6" w:rsidRDefault="00A03683" w:rsidP="00135C5B">
      <w:pPr>
        <w:jc w:val="both"/>
        <w:rPr>
          <w:lang w:val="es-BO"/>
        </w:rPr>
      </w:pPr>
      <w:r w:rsidRPr="00A63BA6">
        <w:rPr>
          <w:b/>
          <w:bCs/>
          <w:lang w:val="es-BO"/>
        </w:rPr>
        <w:t>Unidad 3. Macroeconomía. Gobierno y comercio exterior.</w:t>
      </w:r>
    </w:p>
    <w:p w:rsidR="00135C5B" w:rsidRDefault="00135C5B" w:rsidP="00092A4E">
      <w:pPr>
        <w:jc w:val="both"/>
        <w:rPr>
          <w:lang w:val="es-BO"/>
        </w:rPr>
      </w:pPr>
    </w:p>
    <w:p w:rsidR="0009205A" w:rsidRPr="0009205A" w:rsidRDefault="0009205A" w:rsidP="0009205A">
      <w:pPr>
        <w:numPr>
          <w:ilvl w:val="0"/>
          <w:numId w:val="17"/>
        </w:numPr>
        <w:jc w:val="both"/>
        <w:rPr>
          <w:lang w:val="es-BO"/>
        </w:rPr>
      </w:pPr>
      <w:r>
        <w:rPr>
          <w:lang w:val="es-BO"/>
        </w:rPr>
        <w:t>Concepto de macroeconomía. Elementos macroeconómicos básicos según la fórmula de Keynes (inversión, gasto público, consumo, ahorro).</w:t>
      </w:r>
    </w:p>
    <w:p w:rsidR="0009205A" w:rsidRDefault="0009205A" w:rsidP="00092A4E">
      <w:pPr>
        <w:jc w:val="both"/>
        <w:rPr>
          <w:lang w:val="es-BO"/>
        </w:rPr>
      </w:pPr>
    </w:p>
    <w:p w:rsidR="00DC4F2C" w:rsidRDefault="00DC4F2C" w:rsidP="00DC4F2C">
      <w:pPr>
        <w:numPr>
          <w:ilvl w:val="0"/>
          <w:numId w:val="14"/>
        </w:numPr>
        <w:jc w:val="both"/>
        <w:rPr>
          <w:lang w:val="es-BO"/>
        </w:rPr>
      </w:pPr>
      <w:r>
        <w:rPr>
          <w:lang w:val="es-BO"/>
        </w:rPr>
        <w:t>La esfera económica gubernamental:</w:t>
      </w:r>
    </w:p>
    <w:p w:rsidR="00DC4F2C" w:rsidRDefault="00DC4F2C" w:rsidP="00DC4F2C">
      <w:pPr>
        <w:numPr>
          <w:ilvl w:val="1"/>
          <w:numId w:val="16"/>
        </w:numPr>
        <w:jc w:val="both"/>
        <w:rPr>
          <w:lang w:val="es-BO"/>
        </w:rPr>
      </w:pPr>
      <w:r>
        <w:rPr>
          <w:lang w:val="es-BO"/>
        </w:rPr>
        <w:t>Indicadores: PBI, ingreso per cápita, tasa de desempleo, capacidad ociosa, productividad.</w:t>
      </w:r>
    </w:p>
    <w:p w:rsidR="00DC4F2C" w:rsidRDefault="00DC4F2C" w:rsidP="00DC4F2C">
      <w:pPr>
        <w:numPr>
          <w:ilvl w:val="1"/>
          <w:numId w:val="16"/>
        </w:numPr>
        <w:jc w:val="both"/>
        <w:rPr>
          <w:lang w:val="es-BO"/>
        </w:rPr>
      </w:pPr>
      <w:r>
        <w:rPr>
          <w:lang w:val="es-BO"/>
        </w:rPr>
        <w:t>Sistema impositivo: comparación entre sistemas de Argentina y Brasil.</w:t>
      </w:r>
    </w:p>
    <w:p w:rsidR="00025685" w:rsidRDefault="00DC4F2C" w:rsidP="00025685">
      <w:pPr>
        <w:numPr>
          <w:ilvl w:val="1"/>
          <w:numId w:val="16"/>
        </w:numPr>
        <w:jc w:val="both"/>
        <w:rPr>
          <w:lang w:val="es-BO"/>
        </w:rPr>
      </w:pPr>
      <w:r>
        <w:rPr>
          <w:lang w:val="es-BO"/>
        </w:rPr>
        <w:lastRenderedPageBreak/>
        <w:t>Análisis comparativo de instituciones económicas públicas de Argentina y Brasil (BC, Banco do Brasil, BNDES, Receita Federal, Tesoro, Ministerios, AFIP, BCRA, etc.)</w:t>
      </w:r>
      <w:r w:rsidR="00025685">
        <w:rPr>
          <w:lang w:val="es-BO"/>
        </w:rPr>
        <w:t>.</w:t>
      </w:r>
    </w:p>
    <w:p w:rsidR="00FC55B6" w:rsidRDefault="00FC55B6" w:rsidP="00FC55B6">
      <w:pPr>
        <w:ind w:left="1440"/>
        <w:jc w:val="both"/>
        <w:rPr>
          <w:lang w:val="es-BO"/>
        </w:rPr>
      </w:pPr>
    </w:p>
    <w:p w:rsidR="00DC4F2C" w:rsidRDefault="00DC4F2C" w:rsidP="00DC4F2C">
      <w:pPr>
        <w:numPr>
          <w:ilvl w:val="0"/>
          <w:numId w:val="14"/>
        </w:numPr>
        <w:jc w:val="both"/>
        <w:rPr>
          <w:lang w:val="es-BO"/>
        </w:rPr>
      </w:pPr>
      <w:r>
        <w:rPr>
          <w:lang w:val="es-BO"/>
        </w:rPr>
        <w:t>Comercio exterior:</w:t>
      </w:r>
    </w:p>
    <w:p w:rsidR="00DC4F2C" w:rsidRDefault="00DC4F2C" w:rsidP="00DC4F2C">
      <w:pPr>
        <w:numPr>
          <w:ilvl w:val="1"/>
          <w:numId w:val="15"/>
        </w:numPr>
        <w:jc w:val="both"/>
        <w:rPr>
          <w:lang w:val="es-BO"/>
        </w:rPr>
      </w:pPr>
      <w:r>
        <w:rPr>
          <w:lang w:val="es-BO"/>
        </w:rPr>
        <w:t>Balanza comercial. Aranceles. Incoterms.</w:t>
      </w:r>
    </w:p>
    <w:p w:rsidR="00DC4F2C" w:rsidRDefault="00DC4F2C" w:rsidP="00DC4F2C">
      <w:pPr>
        <w:numPr>
          <w:ilvl w:val="1"/>
          <w:numId w:val="15"/>
        </w:numPr>
        <w:jc w:val="both"/>
        <w:rPr>
          <w:lang w:val="es-BO"/>
        </w:rPr>
      </w:pPr>
      <w:r>
        <w:rPr>
          <w:lang w:val="es-BO"/>
        </w:rPr>
        <w:t xml:space="preserve">Bloques </w:t>
      </w:r>
      <w:r w:rsidR="0089018B">
        <w:rPr>
          <w:lang w:val="es-BO"/>
        </w:rPr>
        <w:t>internacionales</w:t>
      </w:r>
      <w:r>
        <w:rPr>
          <w:lang w:val="es-BO"/>
        </w:rPr>
        <w:t>: UE (eurozona, Mercado Común Europeo), Mercosur, TPP</w:t>
      </w:r>
      <w:r w:rsidR="0089018B">
        <w:rPr>
          <w:lang w:val="es-BO"/>
        </w:rPr>
        <w:t>, TLCAN, BRICS.</w:t>
      </w:r>
    </w:p>
    <w:p w:rsidR="00DC4F2C" w:rsidRDefault="00DC4F2C" w:rsidP="00DC4F2C">
      <w:pPr>
        <w:numPr>
          <w:ilvl w:val="1"/>
          <w:numId w:val="15"/>
        </w:numPr>
        <w:jc w:val="both"/>
        <w:rPr>
          <w:lang w:val="es-BO"/>
        </w:rPr>
      </w:pPr>
      <w:r>
        <w:rPr>
          <w:lang w:val="es-BO"/>
        </w:rPr>
        <w:t>Instituciones económicas internacionales: OMC, FMI, BM, BID, BCI, OCDE, G20, G8.</w:t>
      </w:r>
    </w:p>
    <w:p w:rsidR="00DC4F2C" w:rsidRDefault="00DC4F2C" w:rsidP="00DC4F2C">
      <w:pPr>
        <w:numPr>
          <w:ilvl w:val="1"/>
          <w:numId w:val="15"/>
        </w:numPr>
        <w:jc w:val="both"/>
        <w:rPr>
          <w:lang w:val="es-BO"/>
        </w:rPr>
      </w:pPr>
      <w:r>
        <w:rPr>
          <w:lang w:val="es-BO"/>
        </w:rPr>
        <w:t>Bancos centrales “globales”: Fed, ECB, BOE, BOJ, PBOC.</w:t>
      </w:r>
      <w:r w:rsidR="00FC55B6">
        <w:rPr>
          <w:lang w:val="es-BO"/>
        </w:rPr>
        <w:t xml:space="preserve"> Tasas de interés.</w:t>
      </w:r>
      <w:r w:rsidR="00F71899">
        <w:rPr>
          <w:lang w:val="es-BO"/>
        </w:rPr>
        <w:t xml:space="preserve"> Los programas de flexibilización cuantitativa (QE).</w:t>
      </w:r>
    </w:p>
    <w:p w:rsidR="008651B4" w:rsidRDefault="008651B4" w:rsidP="00DC4F2C">
      <w:pPr>
        <w:jc w:val="both"/>
        <w:rPr>
          <w:lang w:val="es-BO"/>
        </w:rPr>
      </w:pPr>
    </w:p>
    <w:p w:rsidR="00A03683" w:rsidRPr="00DC4F2C" w:rsidRDefault="00A03683" w:rsidP="00DC4F2C">
      <w:pPr>
        <w:jc w:val="both"/>
        <w:rPr>
          <w:lang w:val="es-BO"/>
        </w:rPr>
      </w:pPr>
      <w:r w:rsidRPr="00DC4F2C">
        <w:rPr>
          <w:b/>
          <w:bCs/>
          <w:lang w:val="es-BO"/>
        </w:rPr>
        <w:t>Unidad 4. Finanzas</w:t>
      </w:r>
      <w:r w:rsidR="00DC4F2C">
        <w:rPr>
          <w:b/>
          <w:bCs/>
          <w:lang w:val="es-BO"/>
        </w:rPr>
        <w:t xml:space="preserve">, </w:t>
      </w:r>
      <w:r w:rsidR="00DC4F2C">
        <w:rPr>
          <w:b/>
          <w:bCs/>
          <w:i/>
          <w:iCs/>
          <w:lang w:val="es-BO"/>
        </w:rPr>
        <w:t>commodities</w:t>
      </w:r>
      <w:r w:rsidRPr="00DC4F2C">
        <w:rPr>
          <w:b/>
          <w:bCs/>
          <w:lang w:val="es-BO"/>
        </w:rPr>
        <w:t xml:space="preserve"> y cambio.</w:t>
      </w:r>
    </w:p>
    <w:p w:rsidR="00437CBB" w:rsidRPr="00A63BA6" w:rsidRDefault="00437CBB" w:rsidP="00092A4E">
      <w:pPr>
        <w:jc w:val="both"/>
        <w:rPr>
          <w:rFonts w:cs="Arial"/>
          <w:lang w:val="es-BO"/>
        </w:rPr>
      </w:pPr>
    </w:p>
    <w:p w:rsidR="00DC4F2C" w:rsidRDefault="00FC55B6" w:rsidP="00A63BA6">
      <w:pPr>
        <w:numPr>
          <w:ilvl w:val="0"/>
          <w:numId w:val="7"/>
        </w:numPr>
        <w:jc w:val="both"/>
        <w:rPr>
          <w:rFonts w:cs="Arial"/>
          <w:lang w:val="es-BO"/>
        </w:rPr>
      </w:pPr>
      <w:r w:rsidRPr="00FC55B6">
        <w:rPr>
          <w:rFonts w:cs="Arial"/>
          <w:i/>
          <w:iCs/>
          <w:lang w:val="es-BO"/>
        </w:rPr>
        <w:t>Commodities</w:t>
      </w:r>
      <w:r>
        <w:rPr>
          <w:rFonts w:cs="Arial"/>
          <w:lang w:val="es-BO"/>
        </w:rPr>
        <w:t>:</w:t>
      </w:r>
    </w:p>
    <w:p w:rsidR="00FC55B6" w:rsidRPr="00594328" w:rsidRDefault="00594328" w:rsidP="00FC55B6">
      <w:pPr>
        <w:numPr>
          <w:ilvl w:val="1"/>
          <w:numId w:val="7"/>
        </w:numPr>
        <w:jc w:val="both"/>
        <w:rPr>
          <w:rFonts w:cs="Arial"/>
          <w:lang w:val="es-BO"/>
        </w:rPr>
      </w:pPr>
      <w:r w:rsidRPr="00594328">
        <w:rPr>
          <w:rFonts w:cs="Arial"/>
          <w:lang w:val="es-BO"/>
        </w:rPr>
        <w:t>Definición y clasificación.</w:t>
      </w:r>
      <w:r>
        <w:rPr>
          <w:rFonts w:cs="Arial"/>
          <w:lang w:val="es-BO"/>
        </w:rPr>
        <w:t xml:space="preserve"> </w:t>
      </w:r>
      <w:r w:rsidR="00FC55B6" w:rsidRPr="00594328">
        <w:rPr>
          <w:rFonts w:cs="Arial"/>
          <w:lang w:val="es-BO"/>
        </w:rPr>
        <w:t>Agrícolas. Industriales.</w:t>
      </w:r>
    </w:p>
    <w:p w:rsidR="00FC55B6" w:rsidRDefault="00FC55B6" w:rsidP="00FC55B6">
      <w:pPr>
        <w:numPr>
          <w:ilvl w:val="1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Casos especiales:</w:t>
      </w:r>
    </w:p>
    <w:p w:rsidR="00FC55B6" w:rsidRPr="00FC55B6" w:rsidRDefault="00FC55B6" w:rsidP="00FC55B6">
      <w:pPr>
        <w:numPr>
          <w:ilvl w:val="2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Petróleo/</w:t>
      </w:r>
      <w:r w:rsidRPr="00FC55B6">
        <w:rPr>
          <w:rFonts w:cs="Arial"/>
          <w:i/>
          <w:iCs/>
          <w:lang w:val="es-BO"/>
        </w:rPr>
        <w:t>shale</w:t>
      </w:r>
      <w:r w:rsidR="00594328">
        <w:rPr>
          <w:rFonts w:cs="Arial"/>
          <w:lang w:val="es-BO"/>
        </w:rPr>
        <w:t>. El caso de la OPEP.</w:t>
      </w:r>
    </w:p>
    <w:p w:rsidR="00FC55B6" w:rsidRDefault="00FC55B6" w:rsidP="00FC55B6">
      <w:pPr>
        <w:numPr>
          <w:ilvl w:val="2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 xml:space="preserve">Oro. </w:t>
      </w:r>
      <w:r>
        <w:rPr>
          <w:rFonts w:cs="Arial"/>
          <w:i/>
          <w:iCs/>
          <w:lang w:val="es-BO"/>
        </w:rPr>
        <w:t>Upstream, midstream, downstream</w:t>
      </w:r>
      <w:r>
        <w:rPr>
          <w:rFonts w:cs="Arial"/>
          <w:lang w:val="es-BO"/>
        </w:rPr>
        <w:t xml:space="preserve">. </w:t>
      </w:r>
      <w:r>
        <w:rPr>
          <w:rFonts w:cs="Arial"/>
          <w:i/>
          <w:iCs/>
          <w:lang w:val="es-BO"/>
        </w:rPr>
        <w:t xml:space="preserve">Contango </w:t>
      </w:r>
      <w:r>
        <w:rPr>
          <w:rFonts w:cs="Arial"/>
          <w:lang w:val="es-BO"/>
        </w:rPr>
        <w:t xml:space="preserve">y </w:t>
      </w:r>
      <w:r>
        <w:rPr>
          <w:rFonts w:cs="Arial"/>
          <w:i/>
          <w:iCs/>
          <w:lang w:val="es-BO"/>
        </w:rPr>
        <w:t>backwardation</w:t>
      </w:r>
      <w:r>
        <w:rPr>
          <w:rFonts w:cs="Arial"/>
          <w:lang w:val="es-BO"/>
        </w:rPr>
        <w:t>.</w:t>
      </w:r>
    </w:p>
    <w:p w:rsidR="00FC55B6" w:rsidRDefault="00FC55B6" w:rsidP="00FC55B6">
      <w:pPr>
        <w:numPr>
          <w:ilvl w:val="2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Cobalto.</w:t>
      </w:r>
    </w:p>
    <w:p w:rsidR="00FC55B6" w:rsidRDefault="00FC55B6" w:rsidP="00FC55B6">
      <w:pPr>
        <w:jc w:val="both"/>
        <w:rPr>
          <w:rFonts w:cs="Arial"/>
          <w:lang w:val="es-BO"/>
        </w:rPr>
      </w:pPr>
    </w:p>
    <w:p w:rsidR="00A63BA6" w:rsidRPr="00031961" w:rsidRDefault="00A63BA6" w:rsidP="003337D9">
      <w:pPr>
        <w:numPr>
          <w:ilvl w:val="0"/>
          <w:numId w:val="7"/>
        </w:numPr>
        <w:jc w:val="both"/>
        <w:rPr>
          <w:rFonts w:cs="Arial"/>
          <w:lang w:val="es-BO"/>
        </w:rPr>
      </w:pPr>
      <w:r w:rsidRPr="00031961">
        <w:rPr>
          <w:rFonts w:cs="Arial"/>
          <w:lang w:val="es-BO"/>
        </w:rPr>
        <w:t>Mercado de valores:</w:t>
      </w:r>
      <w:r w:rsidR="00031961">
        <w:rPr>
          <w:rFonts w:cs="Arial"/>
          <w:lang w:val="es-BO"/>
        </w:rPr>
        <w:t xml:space="preserve"> </w:t>
      </w:r>
    </w:p>
    <w:p w:rsidR="00E435C5" w:rsidRPr="00A63BA6" w:rsidRDefault="00E435C5" w:rsidP="00E435C5">
      <w:pPr>
        <w:numPr>
          <w:ilvl w:val="1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 xml:space="preserve">Índices: Merval, Ibovespa, Dow Jones, Stoxx 600, </w:t>
      </w:r>
      <w:r w:rsidR="00A0039F">
        <w:rPr>
          <w:rFonts w:cs="Arial"/>
          <w:lang w:val="es-BO"/>
        </w:rPr>
        <w:t xml:space="preserve">S&amp;P 500, </w:t>
      </w:r>
      <w:r>
        <w:rPr>
          <w:rFonts w:cs="Arial"/>
          <w:lang w:val="es-BO"/>
        </w:rPr>
        <w:t>FTSE, Hang Seng, SCI, etc.</w:t>
      </w:r>
    </w:p>
    <w:p w:rsidR="00A63BA6" w:rsidRDefault="00135C5B" w:rsidP="00A63BA6">
      <w:pPr>
        <w:numPr>
          <w:ilvl w:val="1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Títulos: acciones, bonos</w:t>
      </w:r>
      <w:r w:rsidR="00F71899">
        <w:rPr>
          <w:rFonts w:cs="Arial"/>
          <w:lang w:val="es-BO"/>
        </w:rPr>
        <w:t xml:space="preserve"> (noción de rendimiento)</w:t>
      </w:r>
      <w:r>
        <w:rPr>
          <w:rFonts w:cs="Arial"/>
          <w:lang w:val="es-BO"/>
        </w:rPr>
        <w:t>, derivados,</w:t>
      </w:r>
      <w:r w:rsidR="00F71899">
        <w:rPr>
          <w:rFonts w:cs="Arial"/>
          <w:lang w:val="es-BO"/>
        </w:rPr>
        <w:t xml:space="preserve"> garantías,</w:t>
      </w:r>
      <w:r>
        <w:rPr>
          <w:rFonts w:cs="Arial"/>
          <w:lang w:val="es-BO"/>
        </w:rPr>
        <w:t xml:space="preserve"> futuros, permutas</w:t>
      </w:r>
      <w:r w:rsidR="00DC4F2C">
        <w:rPr>
          <w:rFonts w:cs="Arial"/>
          <w:lang w:val="es-BO"/>
        </w:rPr>
        <w:t xml:space="preserve"> (</w:t>
      </w:r>
      <w:r w:rsidR="00F71899">
        <w:rPr>
          <w:rFonts w:cs="Arial"/>
          <w:lang w:val="es-BO"/>
        </w:rPr>
        <w:t>de cambio, CDS, etc.)</w:t>
      </w:r>
      <w:r>
        <w:rPr>
          <w:rFonts w:cs="Arial"/>
          <w:lang w:val="es-BO"/>
        </w:rPr>
        <w:t>,</w:t>
      </w:r>
      <w:r w:rsidR="00F71899">
        <w:rPr>
          <w:rFonts w:cs="Arial"/>
          <w:lang w:val="es-BO"/>
        </w:rPr>
        <w:t xml:space="preserve"> hipotecas</w:t>
      </w:r>
      <w:r w:rsidR="00782A8C">
        <w:rPr>
          <w:rFonts w:cs="Arial"/>
          <w:lang w:val="es-BO"/>
        </w:rPr>
        <w:t>,</w:t>
      </w:r>
      <w:r>
        <w:rPr>
          <w:rFonts w:cs="Arial"/>
          <w:lang w:val="es-BO"/>
        </w:rPr>
        <w:t xml:space="preserve"> opciones</w:t>
      </w:r>
      <w:r w:rsidR="00DC4F2C">
        <w:rPr>
          <w:rFonts w:cs="Arial"/>
          <w:lang w:val="es-BO"/>
        </w:rPr>
        <w:t xml:space="preserve"> (</w:t>
      </w:r>
      <w:r w:rsidR="00DC4F2C">
        <w:rPr>
          <w:rFonts w:cs="Arial"/>
          <w:i/>
          <w:iCs/>
          <w:lang w:val="es-BO"/>
        </w:rPr>
        <w:t>call/put</w:t>
      </w:r>
      <w:r w:rsidR="00DC4F2C">
        <w:rPr>
          <w:rFonts w:cs="Arial"/>
          <w:lang w:val="es-BO"/>
        </w:rPr>
        <w:t>)</w:t>
      </w:r>
      <w:r>
        <w:rPr>
          <w:rFonts w:cs="Arial"/>
          <w:lang w:val="es-BO"/>
        </w:rPr>
        <w:t>, letras del Tesoro, dividendos</w:t>
      </w:r>
      <w:r w:rsidR="00E435C5">
        <w:rPr>
          <w:rFonts w:cs="Arial"/>
          <w:lang w:val="es-BO"/>
        </w:rPr>
        <w:t>/recompra de acciones</w:t>
      </w:r>
      <w:r>
        <w:rPr>
          <w:rFonts w:cs="Arial"/>
          <w:lang w:val="es-BO"/>
        </w:rPr>
        <w:t>. Tasas (interés, BADLAR, Selic, LIBOR</w:t>
      </w:r>
      <w:r w:rsidR="00594328">
        <w:rPr>
          <w:rFonts w:cs="Arial"/>
          <w:lang w:val="es-BO"/>
        </w:rPr>
        <w:t>, etc.</w:t>
      </w:r>
      <w:r>
        <w:rPr>
          <w:rFonts w:cs="Arial"/>
          <w:lang w:val="es-BO"/>
        </w:rPr>
        <w:t>).</w:t>
      </w:r>
      <w:r w:rsidR="00DC4F2C">
        <w:rPr>
          <w:rFonts w:cs="Arial"/>
          <w:lang w:val="es-BO"/>
        </w:rPr>
        <w:t xml:space="preserve"> Mercado bajista/alcista. Venta en descubierto.</w:t>
      </w:r>
    </w:p>
    <w:p w:rsidR="00135C5B" w:rsidRDefault="00135C5B" w:rsidP="00A63BA6">
      <w:pPr>
        <w:numPr>
          <w:ilvl w:val="1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Actores: Fondos de cobertura, fondos de administración de patrimonios, fondos soberanos, bancos (centrales, privados</w:t>
      </w:r>
      <w:r w:rsidR="00782A8C">
        <w:rPr>
          <w:rFonts w:cs="Arial"/>
          <w:lang w:val="es-BO"/>
        </w:rPr>
        <w:t>, minoristas, de inversión, etc.</w:t>
      </w:r>
      <w:r>
        <w:rPr>
          <w:rFonts w:cs="Arial"/>
          <w:lang w:val="es-BO"/>
        </w:rPr>
        <w:t xml:space="preserve">), </w:t>
      </w:r>
      <w:r w:rsidR="00A0039F">
        <w:rPr>
          <w:rFonts w:cs="Arial"/>
          <w:lang w:val="es-BO"/>
        </w:rPr>
        <w:t>órganos reguladores, agencias de calificación crediticia, cámaras de compensaciones.</w:t>
      </w:r>
    </w:p>
    <w:p w:rsidR="00135C5B" w:rsidRDefault="00135C5B" w:rsidP="00A63BA6">
      <w:pPr>
        <w:numPr>
          <w:ilvl w:val="1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Salida a bolsa: OPI, acciones sin derecho a voto.</w:t>
      </w:r>
    </w:p>
    <w:p w:rsidR="00FC55B6" w:rsidRDefault="00FC55B6" w:rsidP="00FC55B6">
      <w:pPr>
        <w:ind w:left="1080"/>
        <w:jc w:val="both"/>
        <w:rPr>
          <w:rFonts w:cs="Arial"/>
          <w:lang w:val="es-BO"/>
        </w:rPr>
      </w:pPr>
    </w:p>
    <w:p w:rsidR="00135C5B" w:rsidRDefault="00135C5B" w:rsidP="00135C5B">
      <w:pPr>
        <w:numPr>
          <w:ilvl w:val="0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Cambio (FX):</w:t>
      </w:r>
    </w:p>
    <w:p w:rsidR="00135C5B" w:rsidRPr="00A63BA6" w:rsidRDefault="00135C5B" w:rsidP="00135C5B">
      <w:pPr>
        <w:numPr>
          <w:ilvl w:val="1"/>
          <w:numId w:val="7"/>
        </w:numPr>
        <w:jc w:val="both"/>
        <w:rPr>
          <w:rFonts w:cs="Arial"/>
          <w:lang w:val="es-BO"/>
        </w:rPr>
      </w:pPr>
      <w:r>
        <w:rPr>
          <w:rFonts w:cs="Arial"/>
          <w:lang w:val="es-BO"/>
        </w:rPr>
        <w:t>Canasta de monedas con derechos especiales de giro del FMI;</w:t>
      </w:r>
      <w:r w:rsidR="009A2C87">
        <w:rPr>
          <w:rFonts w:cs="Arial"/>
          <w:lang w:val="es-BO"/>
        </w:rPr>
        <w:t xml:space="preserve"> (renminbi, libra esterlina, d</w:t>
      </w:r>
      <w:r w:rsidR="00DC4F2C">
        <w:rPr>
          <w:rFonts w:cs="Arial"/>
          <w:lang w:val="es-BO"/>
        </w:rPr>
        <w:t>ólar, yen, euro).</w:t>
      </w:r>
      <w:r>
        <w:rPr>
          <w:rFonts w:cs="Arial"/>
          <w:lang w:val="es-BO"/>
        </w:rPr>
        <w:t xml:space="preserve"> </w:t>
      </w:r>
      <w:r w:rsidR="00DC4F2C">
        <w:rPr>
          <w:rFonts w:cs="Arial"/>
          <w:lang w:val="es-BO"/>
        </w:rPr>
        <w:t>T</w:t>
      </w:r>
      <w:r>
        <w:rPr>
          <w:rFonts w:cs="Arial"/>
          <w:lang w:val="es-BO"/>
        </w:rPr>
        <w:t>ipos de cotización. El caso de las criptomonedas.</w:t>
      </w:r>
    </w:p>
    <w:p w:rsidR="00D11222" w:rsidRDefault="00D11222" w:rsidP="00D11222">
      <w:pPr>
        <w:jc w:val="both"/>
        <w:rPr>
          <w:b/>
          <w:bCs/>
          <w:lang w:val="es-BO"/>
        </w:rPr>
      </w:pPr>
    </w:p>
    <w:p w:rsidR="00D11222" w:rsidRPr="00A63BA6" w:rsidRDefault="00D11222" w:rsidP="00D11222">
      <w:pPr>
        <w:jc w:val="both"/>
        <w:rPr>
          <w:b/>
          <w:bCs/>
          <w:lang w:val="es-BO"/>
        </w:rPr>
      </w:pPr>
      <w:r>
        <w:rPr>
          <w:b/>
          <w:bCs/>
          <w:lang w:val="es-BO"/>
        </w:rPr>
        <w:t>6</w:t>
      </w:r>
      <w:r w:rsidRPr="00A63BA6">
        <w:rPr>
          <w:b/>
          <w:bCs/>
          <w:lang w:val="es-BO"/>
        </w:rPr>
        <w:t xml:space="preserve">- </w:t>
      </w:r>
      <w:r w:rsidRPr="00D11222">
        <w:rPr>
          <w:b/>
          <w:bCs/>
          <w:lang w:val="es-BO"/>
        </w:rPr>
        <w:t>Modo de abordaje de los contenidos y tipos de actividades</w:t>
      </w:r>
    </w:p>
    <w:p w:rsidR="00D11222" w:rsidRPr="00A63BA6" w:rsidRDefault="00D11222" w:rsidP="00D11222">
      <w:pPr>
        <w:suppressAutoHyphens w:val="0"/>
        <w:jc w:val="both"/>
        <w:rPr>
          <w:lang w:val="es-BO" w:eastAsia="es-ES"/>
        </w:rPr>
      </w:pPr>
      <w:r w:rsidRPr="00A63BA6">
        <w:rPr>
          <w:lang w:val="es-BO" w:eastAsia="es-ES"/>
        </w:rPr>
        <w:lastRenderedPageBreak/>
        <w:t xml:space="preserve">  </w:t>
      </w:r>
    </w:p>
    <w:p w:rsidR="00D11222" w:rsidRDefault="00D11222" w:rsidP="00D11222">
      <w:pPr>
        <w:suppressAutoHyphens w:val="0"/>
        <w:jc w:val="both"/>
        <w:rPr>
          <w:lang w:val="es-BO" w:eastAsia="es-ES"/>
        </w:rPr>
      </w:pPr>
      <w:r w:rsidRPr="00A63BA6">
        <w:rPr>
          <w:lang w:val="es-BO" w:eastAsia="es-ES"/>
        </w:rPr>
        <w:t xml:space="preserve"> - </w:t>
      </w:r>
      <w:r w:rsidRPr="00A0039F">
        <w:rPr>
          <w:bCs/>
          <w:lang w:val="es-BO" w:eastAsia="es-ES"/>
        </w:rPr>
        <w:t xml:space="preserve">Las clases serán de carácter teórico-práctico, </w:t>
      </w:r>
      <w:r>
        <w:rPr>
          <w:lang w:val="es-BO" w:eastAsia="es-ES"/>
        </w:rPr>
        <w:t>con énfasis en la explicación de conceptos y terminología, el desarrollo de criterios de trabajo y la producción de traducciones de géneros textuales económico-financieros. La lectura de textos teóricos y el análisis de situaciones económicas de la actualidad aportarán un contexto al cual aplicar la terminología aprendida.</w:t>
      </w:r>
    </w:p>
    <w:p w:rsidR="00D11222" w:rsidRPr="00A63BA6" w:rsidRDefault="00D11222" w:rsidP="00D11222">
      <w:pPr>
        <w:suppressAutoHyphens w:val="0"/>
        <w:jc w:val="both"/>
        <w:rPr>
          <w:lang w:val="es-BO" w:eastAsia="es-ES"/>
        </w:rPr>
      </w:pPr>
      <w:r>
        <w:rPr>
          <w:lang w:val="es-BO" w:eastAsia="es-ES"/>
        </w:rPr>
        <w:t xml:space="preserve"> - Se ejercitará constantemente la producción textual con traducciones pertinentes a los temas analizados en cada clase, de ser posible también en el aula.</w:t>
      </w:r>
    </w:p>
    <w:p w:rsidR="00D11222" w:rsidRPr="00A63BA6" w:rsidRDefault="00D11222" w:rsidP="00D11222">
      <w:pPr>
        <w:jc w:val="both"/>
        <w:rPr>
          <w:lang w:val="es-BO"/>
        </w:rPr>
      </w:pPr>
      <w:r w:rsidRPr="00A63BA6">
        <w:rPr>
          <w:lang w:val="es-BO"/>
        </w:rPr>
        <w:t xml:space="preserve">- Se </w:t>
      </w:r>
      <w:r>
        <w:rPr>
          <w:lang w:val="es-BO"/>
        </w:rPr>
        <w:t xml:space="preserve">tomarán </w:t>
      </w:r>
      <w:r w:rsidRPr="00A0039F">
        <w:rPr>
          <w:bCs/>
          <w:lang w:val="es-BO"/>
        </w:rPr>
        <w:t xml:space="preserve">dos parciales domiciliarios escritos, uno </w:t>
      </w:r>
      <w:r>
        <w:rPr>
          <w:bCs/>
          <w:lang w:val="es-BO"/>
        </w:rPr>
        <w:t xml:space="preserve">a la mitad de la cursada </w:t>
      </w:r>
      <w:r w:rsidRPr="00A0039F">
        <w:rPr>
          <w:bCs/>
          <w:lang w:val="es-BO"/>
        </w:rPr>
        <w:t>y otro de carácter integrador al final.</w:t>
      </w:r>
    </w:p>
    <w:p w:rsidR="00D11222" w:rsidRPr="00A63BA6" w:rsidRDefault="00D11222" w:rsidP="00D11222">
      <w:pPr>
        <w:jc w:val="both"/>
        <w:rPr>
          <w:lang w:val="es-BO"/>
        </w:rPr>
      </w:pPr>
    </w:p>
    <w:p w:rsidR="00D11222" w:rsidRPr="00031961" w:rsidRDefault="00D11222" w:rsidP="00D11222">
      <w:pPr>
        <w:suppressAutoHyphens w:val="0"/>
        <w:jc w:val="both"/>
        <w:rPr>
          <w:lang w:val="pt-BR" w:eastAsia="es-ES"/>
        </w:rPr>
      </w:pPr>
      <w:r w:rsidRPr="00031961">
        <w:rPr>
          <w:lang w:val="pt-BR" w:eastAsia="es-ES"/>
        </w:rPr>
        <w:t xml:space="preserve">Ferreira Carvalho, Edson Alberto (1993). </w:t>
      </w:r>
      <w:r w:rsidRPr="00031961">
        <w:rPr>
          <w:i/>
          <w:iCs/>
          <w:lang w:val="pt-BR" w:eastAsia="es-ES"/>
        </w:rPr>
        <w:t>O Mundo Contemporâneo: as grandes mudanças geopolíticas e econômicas ocorridas após a Segunda Guerra Mundial</w:t>
      </w:r>
      <w:r w:rsidRPr="00031961">
        <w:rPr>
          <w:lang w:val="pt-BR" w:eastAsia="es-ES"/>
        </w:rPr>
        <w:t>. 2ª. Edición. São Paulo: Editora Núcleo.</w:t>
      </w:r>
    </w:p>
    <w:p w:rsidR="00D11222" w:rsidRPr="00B43503" w:rsidRDefault="00D11222" w:rsidP="00D11222">
      <w:pPr>
        <w:jc w:val="both"/>
        <w:rPr>
          <w:bCs/>
          <w:lang w:val="es-BO"/>
        </w:rPr>
      </w:pPr>
      <w:r w:rsidRPr="00031961">
        <w:rPr>
          <w:bCs/>
          <w:lang w:val="pt-BR"/>
        </w:rPr>
        <w:t xml:space="preserve">Magnoli, Demetrio (1996). </w:t>
      </w:r>
      <w:r w:rsidRPr="00031961">
        <w:rPr>
          <w:bCs/>
          <w:i/>
          <w:iCs/>
          <w:lang w:val="pt-BR"/>
        </w:rPr>
        <w:t>Para entender o Mercosul</w:t>
      </w:r>
      <w:r w:rsidRPr="00031961">
        <w:rPr>
          <w:bCs/>
          <w:lang w:val="pt-BR"/>
        </w:rPr>
        <w:t xml:space="preserve">. </w:t>
      </w:r>
      <w:r>
        <w:rPr>
          <w:bCs/>
          <w:lang w:val="es-BO"/>
        </w:rPr>
        <w:t xml:space="preserve">São Paulo: </w:t>
      </w:r>
      <w:r w:rsidRPr="00B43503">
        <w:rPr>
          <w:bCs/>
          <w:lang w:val="es-BO"/>
        </w:rPr>
        <w:t>Editora Moderna</w:t>
      </w:r>
      <w:r>
        <w:rPr>
          <w:bCs/>
          <w:lang w:val="es-BO"/>
        </w:rPr>
        <w:t>.</w:t>
      </w:r>
    </w:p>
    <w:p w:rsidR="00D11222" w:rsidRDefault="00D11222" w:rsidP="00D11222">
      <w:pPr>
        <w:rPr>
          <w:lang w:val="es-BO" w:eastAsia="pt-BR"/>
        </w:rPr>
      </w:pPr>
    </w:p>
    <w:p w:rsidR="00D11222" w:rsidRDefault="00D11222" w:rsidP="00D11222">
      <w:pPr>
        <w:jc w:val="both"/>
        <w:rPr>
          <w:b/>
          <w:lang w:val="es-BO"/>
        </w:rPr>
      </w:pPr>
      <w:r>
        <w:rPr>
          <w:b/>
          <w:bCs/>
          <w:lang w:val="es-BO"/>
        </w:rPr>
        <w:t>7</w:t>
      </w:r>
      <w:r>
        <w:rPr>
          <w:lang w:val="es-BO"/>
        </w:rPr>
        <w:t xml:space="preserve"> - </w:t>
      </w:r>
      <w:r w:rsidRPr="00A63BA6">
        <w:rPr>
          <w:b/>
          <w:lang w:val="es-BO"/>
        </w:rPr>
        <w:t xml:space="preserve">Bibliografía obligatoria </w:t>
      </w:r>
    </w:p>
    <w:p w:rsidR="00D11222" w:rsidRDefault="00D11222" w:rsidP="00D11222">
      <w:pPr>
        <w:jc w:val="both"/>
        <w:rPr>
          <w:b/>
          <w:lang w:val="es-BO"/>
        </w:rPr>
      </w:pPr>
    </w:p>
    <w:p w:rsidR="00D11222" w:rsidRPr="00D11222" w:rsidRDefault="00D11222" w:rsidP="00D11222">
      <w:pPr>
        <w:jc w:val="both"/>
        <w:rPr>
          <w:bCs/>
          <w:lang w:val="es-BO"/>
        </w:rPr>
      </w:pPr>
      <w:r w:rsidRPr="00D11222">
        <w:rPr>
          <w:bCs/>
          <w:lang w:val="es-BO"/>
        </w:rPr>
        <w:t>Bibliografía obligatoria para Unidad 1</w:t>
      </w:r>
    </w:p>
    <w:p w:rsidR="00D11222" w:rsidRPr="00A63BA6" w:rsidRDefault="00D11222" w:rsidP="00D11222">
      <w:pPr>
        <w:jc w:val="both"/>
        <w:rPr>
          <w:b/>
          <w:u w:val="single"/>
          <w:lang w:val="es-BO"/>
        </w:rPr>
      </w:pPr>
    </w:p>
    <w:p w:rsidR="00D11222" w:rsidRPr="00A63BA6" w:rsidRDefault="00D11222" w:rsidP="00D11222">
      <w:pPr>
        <w:jc w:val="both"/>
        <w:rPr>
          <w:lang w:val="es-BO"/>
        </w:rPr>
      </w:pPr>
      <w:r w:rsidRPr="00A63BA6">
        <w:rPr>
          <w:lang w:val="es-BO"/>
        </w:rPr>
        <w:t>Domínguez Martín, Rafael</w:t>
      </w:r>
      <w:r>
        <w:rPr>
          <w:lang w:val="es-BO"/>
        </w:rPr>
        <w:t xml:space="preserve"> (2005)</w:t>
      </w:r>
      <w:r w:rsidRPr="00A63BA6">
        <w:rPr>
          <w:lang w:val="es-BO"/>
        </w:rPr>
        <w:t xml:space="preserve">. </w:t>
      </w:r>
      <w:r w:rsidRPr="00A63BA6">
        <w:rPr>
          <w:i/>
          <w:iCs/>
          <w:lang w:val="es-BO"/>
        </w:rPr>
        <w:t>Introducción. La economía como ciencia social: evolución de su objeto y método</w:t>
      </w:r>
      <w:r w:rsidRPr="00A63BA6">
        <w:rPr>
          <w:lang w:val="es-BO"/>
        </w:rPr>
        <w:t>.</w:t>
      </w:r>
      <w:r>
        <w:rPr>
          <w:lang w:val="es-BO"/>
        </w:rPr>
        <w:t xml:space="preserve"> Santander: Universidad de Cantabria.</w:t>
      </w:r>
    </w:p>
    <w:p w:rsidR="00D11222" w:rsidRDefault="00D11222" w:rsidP="00D11222">
      <w:pPr>
        <w:jc w:val="both"/>
        <w:rPr>
          <w:lang w:val="es-BO"/>
        </w:rPr>
      </w:pPr>
      <w:r w:rsidRPr="00A63BA6">
        <w:rPr>
          <w:lang w:val="es-BO"/>
        </w:rPr>
        <w:t xml:space="preserve">Guerrero, Diego (2001). “La economía, ciencia política y social”. In Guerrero, D. (2001). </w:t>
      </w:r>
      <w:r w:rsidRPr="00A63BA6">
        <w:rPr>
          <w:i/>
          <w:iCs/>
          <w:lang w:val="es-BO"/>
        </w:rPr>
        <w:t>Manual de economía política</w:t>
      </w:r>
      <w:r w:rsidRPr="00A63BA6">
        <w:rPr>
          <w:lang w:val="es-BO"/>
        </w:rPr>
        <w:t>. Madrid: Síntesis.</w:t>
      </w:r>
    </w:p>
    <w:p w:rsidR="00D11222" w:rsidRDefault="00D11222" w:rsidP="00D11222">
      <w:pPr>
        <w:jc w:val="both"/>
        <w:rPr>
          <w:lang w:val="es-BO"/>
        </w:rPr>
      </w:pPr>
      <w:r>
        <w:rPr>
          <w:lang w:val="es-BO"/>
        </w:rPr>
        <w:t xml:space="preserve">Smith, Adam (1776). </w:t>
      </w:r>
      <w:r>
        <w:rPr>
          <w:i/>
          <w:iCs/>
          <w:lang w:val="es-BO"/>
        </w:rPr>
        <w:t>La riqueza de las naciones</w:t>
      </w:r>
      <w:r>
        <w:rPr>
          <w:lang w:val="es-BO"/>
        </w:rPr>
        <w:t>. Libro IV, capítulo VII.</w:t>
      </w:r>
    </w:p>
    <w:p w:rsidR="00D11222" w:rsidRPr="00D11222" w:rsidRDefault="00D11222" w:rsidP="00D11222">
      <w:pPr>
        <w:jc w:val="both"/>
        <w:rPr>
          <w:bCs/>
          <w:lang w:val="es-BO"/>
        </w:rPr>
      </w:pPr>
    </w:p>
    <w:p w:rsidR="00D11222" w:rsidRPr="00D11222" w:rsidRDefault="00D11222" w:rsidP="00D11222">
      <w:pPr>
        <w:jc w:val="both"/>
        <w:rPr>
          <w:bCs/>
          <w:lang w:val="es-BO"/>
        </w:rPr>
      </w:pPr>
      <w:r w:rsidRPr="00D11222">
        <w:rPr>
          <w:bCs/>
          <w:lang w:val="es-BO"/>
        </w:rPr>
        <w:t>Bibliografía obligatoria para Unidad 2</w:t>
      </w:r>
    </w:p>
    <w:p w:rsidR="00D11222" w:rsidRDefault="00D11222" w:rsidP="00D11222">
      <w:pPr>
        <w:jc w:val="both"/>
        <w:rPr>
          <w:b/>
          <w:bCs/>
          <w:lang w:val="es-BO"/>
        </w:rPr>
      </w:pPr>
    </w:p>
    <w:p w:rsidR="00D11222" w:rsidRDefault="00D11222" w:rsidP="00D11222">
      <w:pPr>
        <w:jc w:val="both"/>
        <w:rPr>
          <w:lang w:val="es-BO"/>
        </w:rPr>
      </w:pPr>
      <w:r w:rsidRPr="008651B4">
        <w:rPr>
          <w:lang w:val="es-BO"/>
        </w:rPr>
        <w:t>Pindyck, Robert y Rubinfeld, Daniel (</w:t>
      </w:r>
      <w:r>
        <w:rPr>
          <w:lang w:val="es-BO"/>
        </w:rPr>
        <w:t xml:space="preserve">2009). </w:t>
      </w:r>
      <w:r>
        <w:rPr>
          <w:i/>
          <w:iCs/>
          <w:lang w:val="es-BO"/>
        </w:rPr>
        <w:t>Microeconomía</w:t>
      </w:r>
      <w:r>
        <w:rPr>
          <w:lang w:val="es-BO"/>
        </w:rPr>
        <w:t>. Trad. de Esther Rabasco y Luis Toharia. Madrid: Pearson.</w:t>
      </w:r>
    </w:p>
    <w:p w:rsidR="00D11222" w:rsidRDefault="00D11222" w:rsidP="00D11222">
      <w:pPr>
        <w:jc w:val="both"/>
        <w:rPr>
          <w:lang w:val="es-BO"/>
        </w:rPr>
      </w:pPr>
      <w:r>
        <w:rPr>
          <w:lang w:val="es-BO"/>
        </w:rPr>
        <w:t xml:space="preserve">Valero, José María (2014). </w:t>
      </w:r>
      <w:r w:rsidRPr="008666AB">
        <w:rPr>
          <w:i/>
          <w:iCs/>
          <w:lang w:val="es-BO"/>
        </w:rPr>
        <w:t>Relevancia del e-commerce para la empresa actual</w:t>
      </w:r>
      <w:r>
        <w:rPr>
          <w:lang w:val="es-BO"/>
        </w:rPr>
        <w:t>. Tesis de grado. Soria: Universidad de Valladolid.</w:t>
      </w:r>
    </w:p>
    <w:p w:rsidR="00031961" w:rsidRDefault="00D11222" w:rsidP="00D11222">
      <w:pPr>
        <w:jc w:val="both"/>
      </w:pPr>
      <w:r>
        <w:rPr>
          <w:lang w:val="es-BO"/>
        </w:rPr>
        <w:t>Villar, Esteban (2005).</w:t>
      </w:r>
      <w:r w:rsidRPr="00170426">
        <w:t xml:space="preserve"> </w:t>
      </w:r>
      <w:r w:rsidRPr="00170426">
        <w:rPr>
          <w:i/>
          <w:iCs/>
        </w:rPr>
        <w:t>Tipos de sociedades</w:t>
      </w:r>
      <w:r>
        <w:t>. Buenos Aires: Deloitte.</w:t>
      </w:r>
    </w:p>
    <w:p w:rsidR="00031961" w:rsidRDefault="00031961" w:rsidP="00D11222">
      <w:pPr>
        <w:jc w:val="both"/>
      </w:pPr>
    </w:p>
    <w:p w:rsidR="00D11222" w:rsidRPr="00D11222" w:rsidRDefault="00D11222" w:rsidP="00D11222">
      <w:pPr>
        <w:jc w:val="both"/>
        <w:rPr>
          <w:bCs/>
          <w:lang w:val="es-BO"/>
        </w:rPr>
      </w:pPr>
      <w:r w:rsidRPr="00D11222">
        <w:rPr>
          <w:bCs/>
          <w:lang w:val="es-BO"/>
        </w:rPr>
        <w:t>Bibliografía obligatoria para Unidad 3:</w:t>
      </w:r>
    </w:p>
    <w:p w:rsidR="00D11222" w:rsidRDefault="00D11222" w:rsidP="00D11222">
      <w:pPr>
        <w:jc w:val="both"/>
        <w:rPr>
          <w:lang w:val="es-BO"/>
        </w:rPr>
      </w:pPr>
    </w:p>
    <w:p w:rsidR="00D11222" w:rsidRPr="00501231" w:rsidRDefault="00D11222" w:rsidP="00D11222">
      <w:pPr>
        <w:jc w:val="both"/>
        <w:rPr>
          <w:lang w:val="es-BO"/>
        </w:rPr>
      </w:pPr>
      <w:r>
        <w:rPr>
          <w:lang w:val="es-BO"/>
        </w:rPr>
        <w:t xml:space="preserve">Keynes, John Maynard (1943). </w:t>
      </w:r>
      <w:r>
        <w:rPr>
          <w:i/>
          <w:iCs/>
          <w:lang w:val="es-BO"/>
        </w:rPr>
        <w:t>Teoría general de la ocupación, el interés y el dinero.</w:t>
      </w:r>
      <w:r>
        <w:rPr>
          <w:lang w:val="es-BO"/>
        </w:rPr>
        <w:t xml:space="preserve"> Trad. de Eduardo Hornedo. México: Fondo de Cultura Económica.</w:t>
      </w:r>
    </w:p>
    <w:p w:rsidR="00D11222" w:rsidRDefault="00D11222" w:rsidP="00D11222">
      <w:pPr>
        <w:jc w:val="both"/>
        <w:rPr>
          <w:lang w:val="es-BO"/>
        </w:rPr>
      </w:pPr>
      <w:r>
        <w:rPr>
          <w:lang w:val="es-BO"/>
        </w:rPr>
        <w:t xml:space="preserve">Lelart, Michel (1996). </w:t>
      </w:r>
      <w:r>
        <w:rPr>
          <w:i/>
          <w:iCs/>
          <w:lang w:val="es-BO"/>
        </w:rPr>
        <w:t xml:space="preserve">El sistema monetario internacional. </w:t>
      </w:r>
      <w:r>
        <w:rPr>
          <w:lang w:val="es-BO"/>
        </w:rPr>
        <w:t>Nueva York</w:t>
      </w:r>
      <w:r w:rsidRPr="00501231">
        <w:rPr>
          <w:lang w:val="es-BO"/>
        </w:rPr>
        <w:t>:</w:t>
      </w:r>
      <w:r>
        <w:rPr>
          <w:i/>
          <w:iCs/>
          <w:lang w:val="es-BO"/>
        </w:rPr>
        <w:t xml:space="preserve"> </w:t>
      </w:r>
      <w:r>
        <w:rPr>
          <w:lang w:val="es-BO"/>
        </w:rPr>
        <w:t>Acento Ediciones.</w:t>
      </w:r>
    </w:p>
    <w:p w:rsidR="00D11222" w:rsidRDefault="00D11222" w:rsidP="00D11222">
      <w:pPr>
        <w:jc w:val="both"/>
        <w:rPr>
          <w:lang w:val="es-BO"/>
        </w:rPr>
      </w:pPr>
      <w:r w:rsidRPr="00501231">
        <w:rPr>
          <w:lang w:val="es-BO"/>
        </w:rPr>
        <w:t>Jahan</w:t>
      </w:r>
      <w:r>
        <w:rPr>
          <w:lang w:val="es-BO"/>
        </w:rPr>
        <w:t xml:space="preserve">, </w:t>
      </w:r>
      <w:r w:rsidRPr="00501231">
        <w:rPr>
          <w:lang w:val="es-BO"/>
        </w:rPr>
        <w:t xml:space="preserve">Sarwat, </w:t>
      </w:r>
      <w:r>
        <w:rPr>
          <w:lang w:val="es-BO"/>
        </w:rPr>
        <w:t xml:space="preserve">Mahmud, A. </w:t>
      </w:r>
      <w:r w:rsidRPr="00501231">
        <w:rPr>
          <w:lang w:val="es-BO"/>
        </w:rPr>
        <w:t>y Papageorgiou</w:t>
      </w:r>
      <w:r>
        <w:rPr>
          <w:lang w:val="es-BO"/>
        </w:rPr>
        <w:t xml:space="preserve">, C. “¿Qué es la economía keynesiana?”. In </w:t>
      </w:r>
      <w:r>
        <w:rPr>
          <w:i/>
          <w:iCs/>
          <w:lang w:val="es-BO"/>
        </w:rPr>
        <w:t>Finanzas y desarrollo</w:t>
      </w:r>
      <w:r>
        <w:rPr>
          <w:lang w:val="es-BO"/>
        </w:rPr>
        <w:t>, Vol 51, N° 3, septiembre de 2014.</w:t>
      </w:r>
    </w:p>
    <w:p w:rsidR="00D11222" w:rsidRPr="00031961" w:rsidRDefault="00D11222" w:rsidP="00D11222">
      <w:pPr>
        <w:jc w:val="both"/>
        <w:rPr>
          <w:lang w:val="pt-BR"/>
        </w:rPr>
      </w:pPr>
      <w:r>
        <w:lastRenderedPageBreak/>
        <w:t xml:space="preserve">Calado Santana, Irailson; Leitão Paes, Nelson; Kitazawa, Wilson; Name Ribeiro, Roberto y Vasconcelos, </w:t>
      </w:r>
      <w:r w:rsidRPr="004D0F7F">
        <w:t>An</w:t>
      </w:r>
      <w:r>
        <w:t xml:space="preserve">dré (2002). </w:t>
      </w:r>
      <w:r w:rsidRPr="00031961">
        <w:rPr>
          <w:i/>
          <w:iCs/>
          <w:lang w:val="pt-BR"/>
        </w:rPr>
        <w:t xml:space="preserve">Sistema e Administração Tributária – Uma Visão Geral. </w:t>
      </w:r>
      <w:r w:rsidRPr="00031961">
        <w:rPr>
          <w:lang w:val="pt-BR"/>
        </w:rPr>
        <w:t>Brasília:</w:t>
      </w:r>
      <w:r w:rsidRPr="00031961">
        <w:rPr>
          <w:i/>
          <w:iCs/>
          <w:lang w:val="pt-BR"/>
        </w:rPr>
        <w:t xml:space="preserve"> </w:t>
      </w:r>
      <w:r w:rsidRPr="00031961">
        <w:rPr>
          <w:lang w:val="pt-BR"/>
        </w:rPr>
        <w:t>Receita Federal.</w:t>
      </w:r>
    </w:p>
    <w:p w:rsidR="00D11222" w:rsidRDefault="00D11222" w:rsidP="00D11222">
      <w:pPr>
        <w:jc w:val="both"/>
      </w:pPr>
      <w:r>
        <w:t xml:space="preserve">Agencia Argentina de Inversiones y Comercio Internacional. </w:t>
      </w:r>
      <w:r w:rsidRPr="008651B4">
        <w:rPr>
          <w:i/>
          <w:iCs/>
        </w:rPr>
        <w:t>El sistema tributario en la Argentina</w:t>
      </w:r>
      <w:r>
        <w:t>.</w:t>
      </w:r>
    </w:p>
    <w:p w:rsidR="00D11222" w:rsidRPr="00D11222" w:rsidRDefault="00D11222" w:rsidP="00092A4E">
      <w:pPr>
        <w:jc w:val="both"/>
        <w:rPr>
          <w:bCs/>
          <w:lang w:val="es-BO"/>
        </w:rPr>
      </w:pPr>
    </w:p>
    <w:p w:rsidR="00D11222" w:rsidRPr="00D11222" w:rsidRDefault="00D11222" w:rsidP="00D11222">
      <w:pPr>
        <w:jc w:val="both"/>
        <w:rPr>
          <w:bCs/>
          <w:u w:val="single"/>
          <w:lang w:val="es-BO"/>
        </w:rPr>
      </w:pPr>
      <w:r w:rsidRPr="00D11222">
        <w:rPr>
          <w:bCs/>
          <w:lang w:val="es-BO"/>
        </w:rPr>
        <w:t>Bibliografía obligatoria para Unidad 4:</w:t>
      </w:r>
    </w:p>
    <w:p w:rsidR="00D11222" w:rsidRDefault="00D11222" w:rsidP="00D11222">
      <w:pPr>
        <w:jc w:val="both"/>
        <w:rPr>
          <w:lang w:val="es-BO"/>
        </w:rPr>
      </w:pPr>
    </w:p>
    <w:p w:rsidR="00D11222" w:rsidRDefault="00D11222" w:rsidP="00D11222">
      <w:pPr>
        <w:jc w:val="both"/>
        <w:rPr>
          <w:lang w:val="es-BO"/>
        </w:rPr>
      </w:pPr>
      <w:r>
        <w:rPr>
          <w:lang w:val="es-BO"/>
        </w:rPr>
        <w:t xml:space="preserve">Casado, Francisco; Márquez, Luis Alfonso; San Martín Guiral, Bernal y Sarrías del Río, Raúl (2012). </w:t>
      </w:r>
      <w:r w:rsidRPr="008B2010">
        <w:rPr>
          <w:i/>
          <w:iCs/>
          <w:lang w:val="es-BO"/>
        </w:rPr>
        <w:t>Las commodities como instrumento de inversión.</w:t>
      </w:r>
      <w:r>
        <w:rPr>
          <w:i/>
          <w:iCs/>
          <w:lang w:val="es-BO"/>
        </w:rPr>
        <w:t xml:space="preserve"> </w:t>
      </w:r>
      <w:r>
        <w:rPr>
          <w:lang w:val="es-BO"/>
        </w:rPr>
        <w:t>Barcelona: Barcelona School of Management.</w:t>
      </w:r>
    </w:p>
    <w:p w:rsidR="00D11222" w:rsidRDefault="00D11222" w:rsidP="00D11222">
      <w:pPr>
        <w:jc w:val="both"/>
        <w:rPr>
          <w:lang w:val="es-BO"/>
        </w:rPr>
      </w:pPr>
      <w:r>
        <w:rPr>
          <w:lang w:val="es-BO"/>
        </w:rPr>
        <w:t xml:space="preserve">Gray, Simon y Place, Joanna (2003). </w:t>
      </w:r>
      <w:r>
        <w:rPr>
          <w:i/>
          <w:iCs/>
          <w:lang w:val="es-BO"/>
        </w:rPr>
        <w:t>Derivados financieros</w:t>
      </w:r>
      <w:r>
        <w:rPr>
          <w:lang w:val="es-BO"/>
        </w:rPr>
        <w:t>. México: Centro de Estudios Monetarios Latinoamericanos.</w:t>
      </w:r>
    </w:p>
    <w:p w:rsidR="00D11222" w:rsidRPr="00170426" w:rsidRDefault="00D11222" w:rsidP="00D11222">
      <w:pPr>
        <w:jc w:val="both"/>
        <w:rPr>
          <w:lang w:val="es-BO"/>
        </w:rPr>
      </w:pPr>
      <w:r>
        <w:rPr>
          <w:lang w:val="es-BO"/>
        </w:rPr>
        <w:t xml:space="preserve">Hull, John (2002). </w:t>
      </w:r>
      <w:r>
        <w:rPr>
          <w:i/>
          <w:iCs/>
          <w:lang w:val="es-BO"/>
        </w:rPr>
        <w:t>Introducción a los mercados de futuros y opciones</w:t>
      </w:r>
      <w:r>
        <w:rPr>
          <w:lang w:val="es-BO"/>
        </w:rPr>
        <w:t>. 4ª Edición. Madrid: Prentice Hall.</w:t>
      </w:r>
    </w:p>
    <w:p w:rsidR="00D11222" w:rsidRPr="00031961" w:rsidRDefault="00D11222" w:rsidP="00D11222">
      <w:pPr>
        <w:jc w:val="both"/>
        <w:rPr>
          <w:lang w:val="pt-BR"/>
        </w:rPr>
      </w:pPr>
      <w:r w:rsidRPr="006D31BA">
        <w:rPr>
          <w:i/>
          <w:iCs/>
          <w:lang w:val="es-BO"/>
        </w:rPr>
        <w:t>Derechos especiales de giro – Ficha técnica</w:t>
      </w:r>
      <w:r>
        <w:rPr>
          <w:lang w:val="es-BO"/>
        </w:rPr>
        <w:t xml:space="preserve">. </w:t>
      </w:r>
      <w:r w:rsidRPr="00031961">
        <w:rPr>
          <w:lang w:val="pt-BR"/>
        </w:rPr>
        <w:t>FMI</w:t>
      </w:r>
    </w:p>
    <w:p w:rsidR="00D11222" w:rsidRPr="00031961" w:rsidRDefault="00D11222" w:rsidP="00092A4E">
      <w:pPr>
        <w:jc w:val="both"/>
        <w:rPr>
          <w:lang w:val="pt-BR"/>
        </w:rPr>
      </w:pPr>
    </w:p>
    <w:p w:rsidR="00D40C41" w:rsidRPr="00031961" w:rsidRDefault="00D11222" w:rsidP="00D40C41">
      <w:pPr>
        <w:jc w:val="both"/>
        <w:rPr>
          <w:b/>
          <w:bCs/>
          <w:lang w:val="pt-BR"/>
        </w:rPr>
      </w:pPr>
      <w:r w:rsidRPr="00031961">
        <w:rPr>
          <w:rFonts w:cs="Arial"/>
          <w:b/>
          <w:lang w:val="pt-BR"/>
        </w:rPr>
        <w:t>8</w:t>
      </w:r>
      <w:r w:rsidR="00D40C41" w:rsidRPr="00031961">
        <w:rPr>
          <w:rFonts w:cs="Arial"/>
          <w:b/>
          <w:lang w:val="pt-BR"/>
        </w:rPr>
        <w:t>- B</w:t>
      </w:r>
      <w:r w:rsidR="00D40C41" w:rsidRPr="00031961">
        <w:rPr>
          <w:b/>
          <w:bCs/>
          <w:lang w:val="pt-BR"/>
        </w:rPr>
        <w:t xml:space="preserve">ibliografía </w:t>
      </w:r>
      <w:r w:rsidRPr="00031961">
        <w:rPr>
          <w:b/>
          <w:bCs/>
          <w:lang w:val="pt-BR"/>
        </w:rPr>
        <w:t>de consulta</w:t>
      </w:r>
    </w:p>
    <w:p w:rsidR="00D40C41" w:rsidRPr="00031961" w:rsidRDefault="00D40C41" w:rsidP="00D40C41">
      <w:pPr>
        <w:rPr>
          <w:lang w:val="pt-BR" w:eastAsia="pt-BR"/>
        </w:rPr>
      </w:pPr>
    </w:p>
    <w:p w:rsidR="00D40C41" w:rsidRPr="00031961" w:rsidRDefault="00D40C41" w:rsidP="00D40C41">
      <w:pPr>
        <w:jc w:val="both"/>
        <w:rPr>
          <w:bCs/>
          <w:lang w:val="pt-BR"/>
        </w:rPr>
      </w:pPr>
      <w:r w:rsidRPr="00031961">
        <w:rPr>
          <w:bCs/>
          <w:lang w:val="pt-BR"/>
        </w:rPr>
        <w:t xml:space="preserve">Cardoso, Eliana (1996). </w:t>
      </w:r>
      <w:r w:rsidRPr="00031961">
        <w:rPr>
          <w:bCs/>
          <w:i/>
          <w:iCs/>
          <w:lang w:val="pt-BR"/>
        </w:rPr>
        <w:t>Economia Brasileira ao Alcance de Todos</w:t>
      </w:r>
      <w:r w:rsidRPr="00031961">
        <w:rPr>
          <w:bCs/>
          <w:lang w:val="pt-BR"/>
        </w:rPr>
        <w:t>. 17ª edición. São Paulo: Editora Brasiliense.</w:t>
      </w:r>
    </w:p>
    <w:p w:rsidR="00D40C41" w:rsidRDefault="00D40C41" w:rsidP="00D40C41">
      <w:pPr>
        <w:suppressAutoHyphens w:val="0"/>
        <w:jc w:val="both"/>
        <w:rPr>
          <w:lang w:val="es-BO" w:eastAsia="es-ES"/>
        </w:rPr>
      </w:pPr>
      <w:r w:rsidRPr="00031961">
        <w:rPr>
          <w:lang w:val="pt-BR" w:eastAsia="es-ES"/>
        </w:rPr>
        <w:t xml:space="preserve">Dornbusch, Rudiger y Fischer, Stanley (1992). </w:t>
      </w:r>
      <w:r w:rsidRPr="00031961">
        <w:rPr>
          <w:i/>
          <w:iCs/>
          <w:lang w:val="pt-BR" w:eastAsia="es-ES"/>
        </w:rPr>
        <w:t>Introdução à Macroeconomia</w:t>
      </w:r>
      <w:r w:rsidRPr="00031961">
        <w:rPr>
          <w:lang w:val="pt-BR" w:eastAsia="es-ES"/>
        </w:rPr>
        <w:t xml:space="preserve">. </w:t>
      </w:r>
      <w:r>
        <w:rPr>
          <w:lang w:val="es-BO" w:eastAsia="es-ES"/>
        </w:rPr>
        <w:t xml:space="preserve">2ª edición. </w:t>
      </w:r>
      <w:r w:rsidRPr="00B43503">
        <w:rPr>
          <w:lang w:val="es-BO" w:eastAsia="es-ES"/>
        </w:rPr>
        <w:t>São Paulo</w:t>
      </w:r>
      <w:r>
        <w:rPr>
          <w:lang w:val="es-BO" w:eastAsia="es-ES"/>
        </w:rPr>
        <w:t>: Editora Makronbook.</w:t>
      </w:r>
    </w:p>
    <w:p w:rsidR="00D11222" w:rsidRDefault="00D11222" w:rsidP="00092A4E">
      <w:pPr>
        <w:jc w:val="both"/>
        <w:rPr>
          <w:rFonts w:cs="Arial"/>
          <w:b/>
          <w:lang w:val="es-BO"/>
        </w:rPr>
      </w:pPr>
    </w:p>
    <w:p w:rsidR="00614314" w:rsidRPr="00351414" w:rsidRDefault="00D11222" w:rsidP="00092A4E">
      <w:pPr>
        <w:jc w:val="both"/>
        <w:rPr>
          <w:rFonts w:cs="Arial"/>
          <w:b/>
          <w:spacing w:val="-3"/>
          <w:lang w:val="es-BO"/>
        </w:rPr>
      </w:pPr>
      <w:r>
        <w:rPr>
          <w:rFonts w:cs="Arial"/>
          <w:b/>
          <w:lang w:val="es-BO"/>
        </w:rPr>
        <w:t>9</w:t>
      </w:r>
      <w:r w:rsidR="00614314" w:rsidRPr="00A63BA6">
        <w:rPr>
          <w:rFonts w:cs="Arial"/>
          <w:b/>
          <w:lang w:val="es-BO"/>
        </w:rPr>
        <w:t xml:space="preserve"> - </w:t>
      </w:r>
      <w:r w:rsidRPr="00D11222">
        <w:rPr>
          <w:rFonts w:cs="Arial"/>
          <w:b/>
          <w:lang w:val="es-BO"/>
        </w:rPr>
        <w:t>Sistema de cursado y promoción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D11222" w:rsidRDefault="00614314" w:rsidP="00092A4E">
      <w:pPr>
        <w:jc w:val="both"/>
        <w:rPr>
          <w:lang w:val="es-BO"/>
        </w:rPr>
      </w:pPr>
      <w:r w:rsidRPr="00D11222">
        <w:rPr>
          <w:lang w:val="es-BO"/>
        </w:rPr>
        <w:t>Promoción sin examen final</w:t>
      </w:r>
    </w:p>
    <w:p w:rsidR="00BE2A48" w:rsidRPr="00A63BA6" w:rsidRDefault="00BE2A48" w:rsidP="00092A4E">
      <w:pPr>
        <w:jc w:val="both"/>
        <w:rPr>
          <w:b/>
          <w:bCs/>
          <w:lang w:val="es-BO"/>
        </w:rPr>
      </w:pPr>
    </w:p>
    <w:p w:rsidR="00614314" w:rsidRDefault="00614314" w:rsidP="00092A4E">
      <w:pPr>
        <w:jc w:val="both"/>
        <w:rPr>
          <w:lang w:val="es-BO"/>
        </w:rPr>
      </w:pPr>
      <w:r w:rsidRPr="00A63BA6">
        <w:rPr>
          <w:lang w:val="es-BO"/>
        </w:rPr>
        <w:t>Condiciones:</w:t>
      </w:r>
    </w:p>
    <w:p w:rsidR="00FD1FFD" w:rsidRPr="00A63BA6" w:rsidRDefault="00FD1FFD" w:rsidP="00092A4E">
      <w:pPr>
        <w:jc w:val="both"/>
        <w:rPr>
          <w:lang w:val="es-BO"/>
        </w:rPr>
      </w:pPr>
    </w:p>
    <w:p w:rsidR="00614314" w:rsidRPr="00A63BA6" w:rsidRDefault="0089018B" w:rsidP="00092A4E">
      <w:pPr>
        <w:numPr>
          <w:ilvl w:val="0"/>
          <w:numId w:val="4"/>
        </w:numPr>
        <w:jc w:val="both"/>
        <w:rPr>
          <w:lang w:val="es-BO"/>
        </w:rPr>
      </w:pPr>
      <w:r w:rsidRPr="00A63BA6">
        <w:rPr>
          <w:lang w:val="es-BO"/>
        </w:rPr>
        <w:t xml:space="preserve">Aprobación </w:t>
      </w:r>
      <w:r w:rsidR="00614314" w:rsidRPr="00A63BA6">
        <w:rPr>
          <w:lang w:val="es-BO"/>
        </w:rPr>
        <w:t>con un promedio no menor que 7 (siete) de po</w:t>
      </w:r>
      <w:r w:rsidR="00594328">
        <w:rPr>
          <w:lang w:val="es-BO"/>
        </w:rPr>
        <w:t>r lo menos 1 (un) examen parcial</w:t>
      </w:r>
      <w:r w:rsidR="00614314" w:rsidRPr="00A63BA6">
        <w:rPr>
          <w:lang w:val="es-BO"/>
        </w:rPr>
        <w:t>, siempre que en este examen obtenga 7 (siete) puntos o más. Los parciales se promedian.</w:t>
      </w:r>
    </w:p>
    <w:p w:rsidR="00614314" w:rsidRPr="00A63BA6" w:rsidRDefault="0089018B" w:rsidP="00092A4E">
      <w:pPr>
        <w:numPr>
          <w:ilvl w:val="0"/>
          <w:numId w:val="4"/>
        </w:numPr>
        <w:jc w:val="both"/>
        <w:rPr>
          <w:lang w:val="es-BO"/>
        </w:rPr>
      </w:pPr>
      <w:r>
        <w:rPr>
          <w:lang w:val="es-BO"/>
        </w:rPr>
        <w:t xml:space="preserve">Los parciales </w:t>
      </w:r>
      <w:r w:rsidR="00614314" w:rsidRPr="00A63BA6">
        <w:rPr>
          <w:lang w:val="es-BO"/>
        </w:rPr>
        <w:t>evaluará</w:t>
      </w:r>
      <w:r>
        <w:rPr>
          <w:lang w:val="es-BO"/>
        </w:rPr>
        <w:t>n</w:t>
      </w:r>
      <w:r w:rsidR="00614314" w:rsidRPr="00A63BA6">
        <w:rPr>
          <w:lang w:val="es-BO"/>
        </w:rPr>
        <w:t xml:space="preserve"> el logro d</w:t>
      </w:r>
      <w:r>
        <w:rPr>
          <w:lang w:val="es-BO"/>
        </w:rPr>
        <w:t xml:space="preserve">e todos los objetivos propuestos desde una modalidad práctica. El segundo deberá </w:t>
      </w:r>
      <w:r w:rsidR="00614314" w:rsidRPr="00A63BA6">
        <w:rPr>
          <w:lang w:val="es-BO"/>
        </w:rPr>
        <w:t>ser escrito y quedará archivado en el instituto.</w:t>
      </w:r>
    </w:p>
    <w:p w:rsidR="00614314" w:rsidRPr="00A63BA6" w:rsidRDefault="00614314" w:rsidP="00092A4E">
      <w:pPr>
        <w:jc w:val="both"/>
        <w:rPr>
          <w:lang w:val="es-BO"/>
        </w:rPr>
      </w:pPr>
    </w:p>
    <w:p w:rsidR="00614314" w:rsidRPr="00A63BA6" w:rsidRDefault="00614314" w:rsidP="00092A4E">
      <w:pPr>
        <w:jc w:val="both"/>
        <w:rPr>
          <w:lang w:val="es-BO"/>
        </w:rPr>
      </w:pPr>
      <w:r w:rsidRPr="00A63BA6">
        <w:rPr>
          <w:lang w:val="es-BO"/>
        </w:rPr>
        <w:t>Si el alumno:</w:t>
      </w:r>
    </w:p>
    <w:p w:rsidR="00614314" w:rsidRPr="00A63BA6" w:rsidRDefault="00614314" w:rsidP="00092A4E">
      <w:pPr>
        <w:numPr>
          <w:ilvl w:val="0"/>
          <w:numId w:val="3"/>
        </w:numPr>
        <w:jc w:val="both"/>
        <w:rPr>
          <w:lang w:val="es-BO"/>
        </w:rPr>
      </w:pPr>
      <w:r w:rsidRPr="00A63BA6">
        <w:rPr>
          <w:lang w:val="es-BO"/>
        </w:rPr>
        <w:t>Obtiene un promedio menor que 7 (siete) pasa al sistema de promoción con examen final.</w:t>
      </w:r>
    </w:p>
    <w:p w:rsidR="00614314" w:rsidRDefault="00614314" w:rsidP="00092A4E">
      <w:pPr>
        <w:numPr>
          <w:ilvl w:val="0"/>
          <w:numId w:val="3"/>
        </w:numPr>
        <w:jc w:val="both"/>
        <w:rPr>
          <w:lang w:val="es-BO"/>
        </w:rPr>
      </w:pPr>
      <w:r w:rsidRPr="00A63BA6">
        <w:rPr>
          <w:lang w:val="es-BO"/>
        </w:rPr>
        <w:t>Obtiene un promedio menor que 4 (cuatro) pierde su condición de alumno regular.</w:t>
      </w:r>
    </w:p>
    <w:p w:rsidR="00D11222" w:rsidRDefault="00D11222" w:rsidP="00D11222">
      <w:pPr>
        <w:jc w:val="both"/>
        <w:rPr>
          <w:lang w:val="es-BO"/>
        </w:rPr>
      </w:pPr>
    </w:p>
    <w:p w:rsidR="00D11222" w:rsidRPr="00D11222" w:rsidRDefault="00D11222" w:rsidP="00D11222">
      <w:pPr>
        <w:jc w:val="both"/>
        <w:rPr>
          <w:lang w:val="es-BO"/>
        </w:rPr>
      </w:pPr>
      <w:r w:rsidRPr="00D11222">
        <w:rPr>
          <w:lang w:val="es-BO"/>
        </w:rPr>
        <w:lastRenderedPageBreak/>
        <w:t>Indicaciones para el alumno libre</w:t>
      </w:r>
    </w:p>
    <w:p w:rsidR="00031961" w:rsidRDefault="00031961" w:rsidP="00D11222">
      <w:pPr>
        <w:jc w:val="both"/>
        <w:rPr>
          <w:lang w:val="es-BO"/>
        </w:rPr>
      </w:pPr>
    </w:p>
    <w:p w:rsidR="00D11222" w:rsidRPr="00A63BA6" w:rsidRDefault="00D11222" w:rsidP="00D11222">
      <w:pPr>
        <w:jc w:val="both"/>
        <w:rPr>
          <w:lang w:val="es-BO"/>
        </w:rPr>
      </w:pPr>
      <w:r w:rsidRPr="00A63BA6">
        <w:rPr>
          <w:lang w:val="es-BO"/>
        </w:rPr>
        <w:t>Condiciones:</w:t>
      </w:r>
    </w:p>
    <w:p w:rsidR="00D11222" w:rsidRPr="00A63BA6" w:rsidRDefault="00D11222" w:rsidP="00D11222">
      <w:pPr>
        <w:numPr>
          <w:ilvl w:val="0"/>
          <w:numId w:val="6"/>
        </w:numPr>
        <w:jc w:val="both"/>
        <w:rPr>
          <w:lang w:val="es-BO"/>
        </w:rPr>
      </w:pPr>
      <w:r w:rsidRPr="00A63BA6">
        <w:rPr>
          <w:lang w:val="es-BO"/>
        </w:rPr>
        <w:t>No estará obligado a cumplir con la asistencia, con trabajos prácticos ni con parciales u otro tipo de evaluaciones.</w:t>
      </w:r>
    </w:p>
    <w:p w:rsidR="00D11222" w:rsidRPr="00A63BA6" w:rsidRDefault="00D11222" w:rsidP="00D11222">
      <w:pPr>
        <w:numPr>
          <w:ilvl w:val="0"/>
          <w:numId w:val="6"/>
        </w:numPr>
        <w:jc w:val="both"/>
        <w:rPr>
          <w:lang w:val="es-BO"/>
        </w:rPr>
      </w:pPr>
      <w:r w:rsidRPr="00A63BA6">
        <w:rPr>
          <w:lang w:val="es-BO"/>
        </w:rPr>
        <w:t>Deberá rendir un examen final, el cual deberá ser mucho más exhaustivo en sus aspectos teórico-prácticos que el del alumno regular y podrá incluir cualquier punto del programa presentado aunque no haya sido tratado por el profesor durante el curso lectivo. En todos los casos, el examen libre será escrito y oral.</w:t>
      </w:r>
    </w:p>
    <w:p w:rsidR="00D11222" w:rsidRPr="00500D18" w:rsidRDefault="00D11222" w:rsidP="00D11222">
      <w:pPr>
        <w:numPr>
          <w:ilvl w:val="0"/>
          <w:numId w:val="6"/>
        </w:numPr>
        <w:jc w:val="both"/>
        <w:rPr>
          <w:lang w:val="es-BO"/>
        </w:rPr>
      </w:pPr>
      <w:r w:rsidRPr="00A63BA6">
        <w:rPr>
          <w:lang w:val="es-BO"/>
        </w:rPr>
        <w:t>Si el alumno aprueba el escrito pero reprueba el oral, deberá rendir ambas pruebas al presentarse a examen nuevamente.</w:t>
      </w:r>
    </w:p>
    <w:p w:rsidR="00614314" w:rsidRDefault="00614314" w:rsidP="00092A4E">
      <w:pPr>
        <w:jc w:val="both"/>
        <w:rPr>
          <w:lang w:val="es-BO"/>
        </w:rPr>
      </w:pPr>
    </w:p>
    <w:p w:rsidR="00D11222" w:rsidRDefault="00D11222" w:rsidP="00D11222">
      <w:pPr>
        <w:rPr>
          <w:b/>
          <w:lang w:val="es-BO"/>
        </w:rPr>
      </w:pPr>
      <w:r>
        <w:rPr>
          <w:rFonts w:cs="Arial"/>
          <w:b/>
          <w:lang w:val="es-BO"/>
        </w:rPr>
        <w:t>10</w:t>
      </w:r>
      <w:r w:rsidRPr="00A63BA6">
        <w:rPr>
          <w:rFonts w:cs="Arial"/>
          <w:b/>
          <w:lang w:val="es-BO"/>
        </w:rPr>
        <w:t xml:space="preserve"> - </w:t>
      </w:r>
      <w:r w:rsidRPr="00D11222">
        <w:rPr>
          <w:b/>
          <w:lang w:val="es-BO"/>
        </w:rPr>
        <w:t>Instrumentos y criterios de evaluación para la aprobación de la unidad curricular</w:t>
      </w:r>
    </w:p>
    <w:p w:rsidR="00D11222" w:rsidRPr="00A63BA6" w:rsidRDefault="00D11222" w:rsidP="00D11222">
      <w:pPr>
        <w:rPr>
          <w:b/>
          <w:lang w:val="es-BO"/>
        </w:rPr>
      </w:pPr>
    </w:p>
    <w:p w:rsidR="00D11222" w:rsidRPr="00A63BA6" w:rsidRDefault="00D11222" w:rsidP="00D11222">
      <w:pPr>
        <w:jc w:val="both"/>
        <w:rPr>
          <w:lang w:val="es-BO"/>
        </w:rPr>
      </w:pPr>
      <w:r w:rsidRPr="00A63BA6">
        <w:rPr>
          <w:lang w:val="es-BO"/>
        </w:rPr>
        <w:t>Se evaluará:</w:t>
      </w:r>
    </w:p>
    <w:p w:rsidR="00D11222" w:rsidRDefault="00D11222" w:rsidP="00D11222">
      <w:pPr>
        <w:jc w:val="both"/>
        <w:rPr>
          <w:lang w:val="es-BO"/>
        </w:rPr>
      </w:pPr>
      <w:r w:rsidRPr="00A63BA6">
        <w:rPr>
          <w:lang w:val="es-BO"/>
        </w:rPr>
        <w:t xml:space="preserve">- </w:t>
      </w:r>
      <w:r>
        <w:rPr>
          <w:lang w:val="es-BO"/>
        </w:rPr>
        <w:t>La capacidad de producción de los diversos géneros textuales de la traducción económico-financiera.</w:t>
      </w:r>
    </w:p>
    <w:p w:rsidR="00D11222" w:rsidRPr="00A63BA6" w:rsidRDefault="00D11222" w:rsidP="00D11222">
      <w:pPr>
        <w:jc w:val="both"/>
        <w:rPr>
          <w:lang w:val="es-BO"/>
        </w:rPr>
      </w:pPr>
      <w:r w:rsidRPr="00A63BA6">
        <w:rPr>
          <w:lang w:val="es-BO"/>
        </w:rPr>
        <w:t>-</w:t>
      </w:r>
      <w:r>
        <w:rPr>
          <w:lang w:val="es-BO"/>
        </w:rPr>
        <w:t xml:space="preserve"> El dominio de la terminología y sus criterios de búsqueda.</w:t>
      </w:r>
    </w:p>
    <w:p w:rsidR="00D11222" w:rsidRPr="00A63BA6" w:rsidRDefault="00D11222" w:rsidP="00092A4E">
      <w:pPr>
        <w:jc w:val="both"/>
        <w:rPr>
          <w:lang w:val="es-BO"/>
        </w:rPr>
      </w:pPr>
      <w:r w:rsidRPr="00A63BA6">
        <w:rPr>
          <w:lang w:val="es-BO"/>
        </w:rPr>
        <w:t xml:space="preserve">- </w:t>
      </w:r>
      <w:r>
        <w:rPr>
          <w:lang w:val="es-BO"/>
        </w:rPr>
        <w:t>E</w:t>
      </w:r>
      <w:r w:rsidRPr="00A63BA6">
        <w:rPr>
          <w:lang w:val="es-BO"/>
        </w:rPr>
        <w:t>l manejo e</w:t>
      </w:r>
      <w:r>
        <w:rPr>
          <w:lang w:val="es-BO"/>
        </w:rPr>
        <w:t>scrito de las lenguas portuguesa y española (</w:t>
      </w:r>
      <w:r w:rsidRPr="00A63BA6">
        <w:rPr>
          <w:lang w:val="es-BO"/>
        </w:rPr>
        <w:t>coherencia, cohesión, recursos lingüísticos y estilísticos propios del idioma</w:t>
      </w:r>
      <w:r>
        <w:rPr>
          <w:lang w:val="es-BO"/>
        </w:rPr>
        <w:t>).</w:t>
      </w:r>
    </w:p>
    <w:sectPr w:rsidR="00D11222" w:rsidRPr="00A63BA6" w:rsidSect="00031961">
      <w:headerReference w:type="default" r:id="rId7"/>
      <w:headerReference w:type="first" r:id="rId8"/>
      <w:pgSz w:w="11907" w:h="16839" w:code="9"/>
      <w:pgMar w:top="1417" w:right="1701" w:bottom="1417" w:left="1701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01" w:rsidRDefault="00513001">
      <w:r>
        <w:separator/>
      </w:r>
    </w:p>
  </w:endnote>
  <w:endnote w:type="continuationSeparator" w:id="0">
    <w:p w:rsidR="00513001" w:rsidRDefault="0051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ELIE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01" w:rsidRDefault="00513001">
      <w:r>
        <w:separator/>
      </w:r>
    </w:p>
  </w:footnote>
  <w:footnote w:type="continuationSeparator" w:id="0">
    <w:p w:rsidR="00513001" w:rsidRDefault="00513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61" w:rsidRDefault="00031961" w:rsidP="00031961">
    <w:pPr>
      <w:pStyle w:val="Encabezado"/>
    </w:pPr>
  </w:p>
  <w:tbl>
    <w:tblPr>
      <w:tblW w:w="9544" w:type="dxa"/>
      <w:tblLayout w:type="fixed"/>
      <w:tblLook w:val="0000"/>
    </w:tblPr>
    <w:tblGrid>
      <w:gridCol w:w="4772"/>
      <w:gridCol w:w="4772"/>
    </w:tblGrid>
    <w:tr w:rsidR="00031961" w:rsidTr="00167932">
      <w:tc>
        <w:tcPr>
          <w:tcW w:w="4772" w:type="dxa"/>
        </w:tcPr>
        <w:p w:rsidR="00031961" w:rsidRDefault="00C36DA6" w:rsidP="00167932">
          <w:pPr>
            <w:tabs>
              <w:tab w:val="left" w:pos="2891"/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529590" cy="697865"/>
                <wp:effectExtent l="19050" t="0" r="381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31961">
            <w:rPr>
              <w:sz w:val="20"/>
              <w:szCs w:val="20"/>
            </w:rPr>
            <w:t xml:space="preserve"> </w:t>
          </w:r>
        </w:p>
        <w:p w:rsidR="00031961" w:rsidRDefault="00031961" w:rsidP="00167932">
          <w:pPr>
            <w:tabs>
              <w:tab w:val="left" w:pos="2891"/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GOBIERNO DE LA CIUDAD DE BUENOS AIRES</w:t>
          </w: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Ministerio de Educación</w:t>
          </w: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Dirección General de Educación Superior</w:t>
          </w:r>
        </w:p>
      </w:tc>
      <w:tc>
        <w:tcPr>
          <w:tcW w:w="4772" w:type="dxa"/>
        </w:tcPr>
        <w:p w:rsidR="00031961" w:rsidRDefault="00C36DA6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19050</wp:posOffset>
                </wp:positionV>
                <wp:extent cx="857250" cy="695325"/>
                <wp:effectExtent l="19050" t="0" r="0" b="0"/>
                <wp:wrapNone/>
                <wp:docPr id="10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INSTITUTO DE ENSEÑANZA SUPERIOR EN</w:t>
          </w: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LENGUAS VIVAS</w:t>
          </w:r>
        </w:p>
        <w:p w:rsidR="00031961" w:rsidRDefault="00031961" w:rsidP="00167932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“Juan Ramón Fernández”</w:t>
          </w:r>
        </w:p>
      </w:tc>
    </w:tr>
  </w:tbl>
  <w:p w:rsidR="00031961" w:rsidRDefault="00031961" w:rsidP="00031961">
    <w:pPr>
      <w:pStyle w:val="Encabezado"/>
    </w:pPr>
  </w:p>
  <w:p w:rsidR="00031961" w:rsidRDefault="000319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4" w:type="dxa"/>
      <w:tblLayout w:type="fixed"/>
      <w:tblLook w:val="0000"/>
    </w:tblPr>
    <w:tblGrid>
      <w:gridCol w:w="4772"/>
      <w:gridCol w:w="4772"/>
    </w:tblGrid>
    <w:tr w:rsidR="00873700" w:rsidTr="0017186E">
      <w:tc>
        <w:tcPr>
          <w:tcW w:w="4772" w:type="dxa"/>
        </w:tcPr>
        <w:p w:rsidR="00031961" w:rsidRDefault="00031961" w:rsidP="00031961">
          <w:pPr>
            <w:pStyle w:val="Encabezado"/>
          </w:pPr>
        </w:p>
        <w:tbl>
          <w:tblPr>
            <w:tblW w:w="9544" w:type="dxa"/>
            <w:tblLayout w:type="fixed"/>
            <w:tblLook w:val="0000"/>
          </w:tblPr>
          <w:tblGrid>
            <w:gridCol w:w="4772"/>
            <w:gridCol w:w="4772"/>
          </w:tblGrid>
          <w:tr w:rsidR="00031961" w:rsidTr="00167932">
            <w:tc>
              <w:tcPr>
                <w:tcW w:w="4772" w:type="dxa"/>
              </w:tcPr>
              <w:p w:rsidR="00031961" w:rsidRDefault="00C36DA6" w:rsidP="00167932">
                <w:pPr>
                  <w:tabs>
                    <w:tab w:val="left" w:pos="2891"/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>
                      <wp:extent cx="529590" cy="697865"/>
                      <wp:effectExtent l="19050" t="0" r="3810" b="0"/>
                      <wp:docPr id="2" name="image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9590" cy="697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31961">
                  <w:rPr>
                    <w:sz w:val="20"/>
                    <w:szCs w:val="20"/>
                  </w:rPr>
                  <w:t xml:space="preserve"> </w:t>
                </w:r>
              </w:p>
              <w:p w:rsidR="00031961" w:rsidRDefault="00031961" w:rsidP="00167932">
                <w:pPr>
                  <w:tabs>
                    <w:tab w:val="left" w:pos="2891"/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GOBIERNO DE LA CIUDAD DE BUENOS AIRES</w:t>
                </w: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Ministerio de Educación</w:t>
                </w:r>
                <w:bookmarkStart w:id="0" w:name="_GoBack"/>
                <w:bookmarkEnd w:id="0"/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Dirección General de Educación Superior</w:t>
                </w:r>
              </w:p>
            </w:tc>
            <w:tc>
              <w:tcPr>
                <w:tcW w:w="4772" w:type="dxa"/>
              </w:tcPr>
              <w:p w:rsidR="00031961" w:rsidRDefault="00C36DA6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885825</wp:posOffset>
                      </wp:positionH>
                      <wp:positionV relativeFrom="paragraph">
                        <wp:posOffset>19050</wp:posOffset>
                      </wp:positionV>
                      <wp:extent cx="857250" cy="695325"/>
                      <wp:effectExtent l="19050" t="0" r="0" b="0"/>
                      <wp:wrapNone/>
                      <wp:docPr id="9" name="image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INSTITUTO DE ENSEÑANZA SUPERIOR EN</w:t>
                </w: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LENGUAS VIVAS</w:t>
                </w:r>
              </w:p>
              <w:p w:rsidR="00031961" w:rsidRDefault="00031961" w:rsidP="0016793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“Juan Ramón Fernández”</w:t>
                </w:r>
              </w:p>
            </w:tc>
          </w:tr>
        </w:tbl>
        <w:p w:rsidR="00031961" w:rsidRDefault="00031961" w:rsidP="00031961">
          <w:pPr>
            <w:pStyle w:val="Encabezado"/>
          </w:pPr>
        </w:p>
        <w:p w:rsidR="00873700" w:rsidRDefault="00873700" w:rsidP="0017186E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</w:tc>
      <w:tc>
        <w:tcPr>
          <w:tcW w:w="4772" w:type="dxa"/>
        </w:tcPr>
        <w:p w:rsidR="00873700" w:rsidRDefault="00873700" w:rsidP="0017186E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</w:tc>
    </w:tr>
  </w:tbl>
  <w:p w:rsidR="00873700" w:rsidRDefault="008737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7A15BAA"/>
    <w:multiLevelType w:val="hybridMultilevel"/>
    <w:tmpl w:val="B74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42CD1"/>
    <w:multiLevelType w:val="hybridMultilevel"/>
    <w:tmpl w:val="2B3E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3896"/>
    <w:multiLevelType w:val="multilevel"/>
    <w:tmpl w:val="20B8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B4C4619"/>
    <w:multiLevelType w:val="hybridMultilevel"/>
    <w:tmpl w:val="EA0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F01AD"/>
    <w:multiLevelType w:val="hybridMultilevel"/>
    <w:tmpl w:val="7A405F5C"/>
    <w:lvl w:ilvl="0" w:tplc="4E78C380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7012D46"/>
    <w:multiLevelType w:val="hybridMultilevel"/>
    <w:tmpl w:val="176E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F6102"/>
    <w:multiLevelType w:val="hybridMultilevel"/>
    <w:tmpl w:val="C396F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A1864"/>
    <w:multiLevelType w:val="hybridMultilevel"/>
    <w:tmpl w:val="B26C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05464"/>
    <w:multiLevelType w:val="hybridMultilevel"/>
    <w:tmpl w:val="94EC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31AF"/>
    <w:rsid w:val="00006591"/>
    <w:rsid w:val="00010F9B"/>
    <w:rsid w:val="00025685"/>
    <w:rsid w:val="00031961"/>
    <w:rsid w:val="000831AF"/>
    <w:rsid w:val="0009205A"/>
    <w:rsid w:val="00092A4E"/>
    <w:rsid w:val="000E6F42"/>
    <w:rsid w:val="000E707A"/>
    <w:rsid w:val="00126ECC"/>
    <w:rsid w:val="00135C5B"/>
    <w:rsid w:val="00167932"/>
    <w:rsid w:val="00170426"/>
    <w:rsid w:val="0017186E"/>
    <w:rsid w:val="00183105"/>
    <w:rsid w:val="00195506"/>
    <w:rsid w:val="001C3951"/>
    <w:rsid w:val="001E2260"/>
    <w:rsid w:val="0028215A"/>
    <w:rsid w:val="002B0648"/>
    <w:rsid w:val="0031269F"/>
    <w:rsid w:val="003337D9"/>
    <w:rsid w:val="00351414"/>
    <w:rsid w:val="00382394"/>
    <w:rsid w:val="003E0FB4"/>
    <w:rsid w:val="00404835"/>
    <w:rsid w:val="00437CBB"/>
    <w:rsid w:val="004D0F7F"/>
    <w:rsid w:val="00500D18"/>
    <w:rsid w:val="00501231"/>
    <w:rsid w:val="00513001"/>
    <w:rsid w:val="0052548E"/>
    <w:rsid w:val="00594328"/>
    <w:rsid w:val="005A519F"/>
    <w:rsid w:val="005D069B"/>
    <w:rsid w:val="00614314"/>
    <w:rsid w:val="006A4674"/>
    <w:rsid w:val="006D31BA"/>
    <w:rsid w:val="00715E0C"/>
    <w:rsid w:val="0071734D"/>
    <w:rsid w:val="00747549"/>
    <w:rsid w:val="00764953"/>
    <w:rsid w:val="00782A8C"/>
    <w:rsid w:val="00793477"/>
    <w:rsid w:val="0082516D"/>
    <w:rsid w:val="008352AF"/>
    <w:rsid w:val="00855406"/>
    <w:rsid w:val="008651B4"/>
    <w:rsid w:val="008666AB"/>
    <w:rsid w:val="00873700"/>
    <w:rsid w:val="0089018B"/>
    <w:rsid w:val="008B2010"/>
    <w:rsid w:val="008C31BE"/>
    <w:rsid w:val="00982675"/>
    <w:rsid w:val="009960A4"/>
    <w:rsid w:val="009A2C87"/>
    <w:rsid w:val="009D79AC"/>
    <w:rsid w:val="00A0039F"/>
    <w:rsid w:val="00A03683"/>
    <w:rsid w:val="00A0573A"/>
    <w:rsid w:val="00A63BA6"/>
    <w:rsid w:val="00AF70D1"/>
    <w:rsid w:val="00B0515C"/>
    <w:rsid w:val="00B43503"/>
    <w:rsid w:val="00B515DE"/>
    <w:rsid w:val="00BA3053"/>
    <w:rsid w:val="00BB54FD"/>
    <w:rsid w:val="00BE2A48"/>
    <w:rsid w:val="00C36DA6"/>
    <w:rsid w:val="00C66EB4"/>
    <w:rsid w:val="00CA77F6"/>
    <w:rsid w:val="00D11222"/>
    <w:rsid w:val="00D40C41"/>
    <w:rsid w:val="00D5533A"/>
    <w:rsid w:val="00DC4F2C"/>
    <w:rsid w:val="00E435C5"/>
    <w:rsid w:val="00E5103A"/>
    <w:rsid w:val="00E9535F"/>
    <w:rsid w:val="00ED2565"/>
    <w:rsid w:val="00F02B91"/>
    <w:rsid w:val="00F50B25"/>
    <w:rsid w:val="00F71899"/>
    <w:rsid w:val="00F94906"/>
    <w:rsid w:val="00FC55B6"/>
    <w:rsid w:val="00F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AR" w:eastAsia="ar-SA"/>
    </w:rPr>
  </w:style>
  <w:style w:type="paragraph" w:styleId="Ttulo1">
    <w:name w:val="heading 1"/>
    <w:basedOn w:val="Ttulo10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100" w:after="100"/>
    </w:pPr>
    <w:rPr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spacing w:line="36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pPr>
      <w:jc w:val="center"/>
    </w:pPr>
    <w:rPr>
      <w:b/>
      <w:lang w:val="es-ES"/>
    </w:rPr>
  </w:style>
  <w:style w:type="paragraph" w:customStyle="1" w:styleId="Contedodequadro">
    <w:name w:val="Conteúdo de quadro"/>
    <w:basedOn w:val="Textoindependiente"/>
  </w:style>
  <w:style w:type="paragraph" w:customStyle="1" w:styleId="Default">
    <w:name w:val="Default"/>
    <w:basedOn w:val="Normal"/>
    <w:pPr>
      <w:autoSpaceDE w:val="0"/>
    </w:pPr>
    <w:rPr>
      <w:rFonts w:ascii="DBELIE+TimesNewRoman" w:eastAsia="DBELIE+TimesNewRoman" w:hAnsi="DBELIE+TimesNewRoman" w:cs="DBELIE+TimesNewRoman"/>
      <w:color w:val="000000"/>
      <w:lang w:val="de-DE" w:eastAsia="fa-IR" w:bidi="fa-IR"/>
    </w:rPr>
  </w:style>
  <w:style w:type="paragraph" w:customStyle="1" w:styleId="western">
    <w:name w:val="western"/>
    <w:basedOn w:val="Normal"/>
    <w:rsid w:val="000831AF"/>
    <w:pPr>
      <w:suppressAutoHyphens w:val="0"/>
      <w:spacing w:before="100" w:beforeAutospacing="1" w:after="119"/>
    </w:pPr>
    <w:rPr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92A4E"/>
    <w:pPr>
      <w:suppressAutoHyphens w:val="0"/>
    </w:pPr>
    <w:rPr>
      <w:rFonts w:ascii="Calibri" w:eastAsia="Calibri" w:hAnsi="Calibri" w:cs="Sendnya"/>
      <w:sz w:val="20"/>
      <w:szCs w:val="20"/>
      <w:lang w:eastAsia="en-US" w:bidi="or-IN"/>
    </w:rPr>
  </w:style>
  <w:style w:type="character" w:customStyle="1" w:styleId="TextonotapieCar">
    <w:name w:val="Texto nota pie Car"/>
    <w:link w:val="Textonotapie"/>
    <w:uiPriority w:val="99"/>
    <w:rsid w:val="00092A4E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092A4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675"/>
    <w:rPr>
      <w:rFonts w:ascii="Tahoma" w:hAnsi="Tahoma" w:cs="Sendnya"/>
      <w:sz w:val="16"/>
      <w:szCs w:val="16"/>
      <w:lang w:bidi="or-IN"/>
    </w:rPr>
  </w:style>
  <w:style w:type="character" w:customStyle="1" w:styleId="TextodegloboCar">
    <w:name w:val="Texto de globo Car"/>
    <w:link w:val="Textodeglobo"/>
    <w:uiPriority w:val="99"/>
    <w:semiHidden/>
    <w:rsid w:val="00982675"/>
    <w:rPr>
      <w:rFonts w:ascii="Tahoma" w:hAnsi="Tahoma" w:cs="Tahoma"/>
      <w:sz w:val="16"/>
      <w:szCs w:val="16"/>
      <w:lang w:val="es-AR" w:eastAsia="ar-SA"/>
    </w:rPr>
  </w:style>
  <w:style w:type="paragraph" w:styleId="Prrafodelista">
    <w:name w:val="List Paragraph"/>
    <w:basedOn w:val="Normal"/>
    <w:uiPriority w:val="34"/>
    <w:qFormat/>
    <w:rsid w:val="003823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EncabezadoCar">
    <w:name w:val="Encabezado Car"/>
    <w:link w:val="Encabezado"/>
    <w:uiPriority w:val="99"/>
    <w:rsid w:val="009960A4"/>
    <w:rPr>
      <w:sz w:val="24"/>
      <w:szCs w:val="24"/>
      <w:lang w:val="es-A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ENSEÑANZA SUPERIOR EN LENGUAS VIVAS</vt:lpstr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ENSEÑANZA SUPERIOR EN LENGUAS VIVAS</dc:title>
  <dc:creator>Escuela</dc:creator>
  <cp:lastModifiedBy>Vicerrectorado</cp:lastModifiedBy>
  <cp:revision>2</cp:revision>
  <cp:lastPrinted>2017-09-11T00:20:00Z</cp:lastPrinted>
  <dcterms:created xsi:type="dcterms:W3CDTF">2018-11-28T18:48:00Z</dcterms:created>
  <dcterms:modified xsi:type="dcterms:W3CDTF">2018-11-28T18:48:00Z</dcterms:modified>
</cp:coreProperties>
</file>