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I.E.S. Lenguas Vivas “Juan Ramón Fernández” – Sede Pompeya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TALLER DE LECTURA, ESCRITURA Y ORALIDAD</w:t>
      </w:r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5FDF" w:rsidRDefault="00B45FDF" w:rsidP="00B45FDF">
      <w:pPr>
        <w:keepNext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Prof.: Nélida </w:t>
      </w:r>
      <w:proofErr w:type="spellStart"/>
      <w:r>
        <w:rPr>
          <w:rFonts w:ascii="Times New Roman" w:eastAsia="Times New Roman" w:hAnsi="Times New Roman" w:cs="Times New Roman"/>
          <w:b/>
        </w:rPr>
        <w:t>Marucci</w:t>
      </w:r>
      <w:proofErr w:type="spellEnd"/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CURSO 2018 </w:t>
      </w:r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5FDF" w:rsidRDefault="00B45FDF" w:rsidP="00B45FDF">
      <w:pPr>
        <w:keepNext/>
        <w:tabs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OBJETIVOS DE LA MATERIA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 el alumno logre: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15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-Desarrollar la capacidad de reflexión crítica de los textos, en su complejidad comunicativa, tanto en lo relativo a la producción como a la recepción, en sus formatos oral y escrito. </w:t>
      </w:r>
    </w:p>
    <w:p w:rsidR="00B45FDF" w:rsidRDefault="00B45FDF" w:rsidP="00B45FDF">
      <w:pPr>
        <w:tabs>
          <w:tab w:val="left" w:pos="568"/>
        </w:tabs>
        <w:suppressAutoHyphens/>
        <w:spacing w:after="15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-Adquirir y aplicar estrategias de escritura y lectura de diferentes tipos de texto en tanto procesos cognitivos.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-Incorporar  herramientas para la organización y realización de producciones orales.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CONTENIDOS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 1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Sintaxis de la oración compuesta y compleja. Lectura y comprensión de textos. El texto. Coherencia y cohesión. Secuencias textuales: narración, descripción, explicación, argumentación, diálogo. Características y finalidades de cada una. Tipologías textuales y géneros discursivos. Construcción histórico-cultural de los géneros discursivos.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Bibliografía: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Bajtín, M. “El problema de los géneros discursivos” en </w:t>
      </w:r>
      <w:r>
        <w:rPr>
          <w:rFonts w:ascii="Times New Roman" w:eastAsia="Times New Roman" w:hAnsi="Times New Roman" w:cs="Times New Roman"/>
          <w:i/>
        </w:rPr>
        <w:t>Estética de la creación verbal.</w:t>
      </w:r>
      <w:r>
        <w:rPr>
          <w:rFonts w:ascii="Times New Roman" w:eastAsia="Times New Roman" w:hAnsi="Times New Roman" w:cs="Times New Roman"/>
        </w:rPr>
        <w:t xml:space="preserve"> México: Siglo XXI, 1995.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Calsamiglia</w:t>
      </w:r>
      <w:proofErr w:type="spellEnd"/>
      <w:r>
        <w:rPr>
          <w:rFonts w:ascii="Times New Roman" w:eastAsia="Times New Roman" w:hAnsi="Times New Roman" w:cs="Times New Roman"/>
        </w:rPr>
        <w:t xml:space="preserve">, H.; Tusón, A. </w:t>
      </w:r>
      <w:r>
        <w:rPr>
          <w:rFonts w:ascii="Times New Roman" w:eastAsia="Times New Roman" w:hAnsi="Times New Roman" w:cs="Times New Roman"/>
          <w:i/>
        </w:rPr>
        <w:t>Las cosas del decir: Manual de análisis del discurso</w:t>
      </w:r>
      <w:r>
        <w:rPr>
          <w:rFonts w:ascii="Times New Roman" w:eastAsia="Times New Roman" w:hAnsi="Times New Roman" w:cs="Times New Roman"/>
        </w:rPr>
        <w:t>. Barcelona: Ariel, 2001.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Ciapuscio</w:t>
      </w:r>
      <w:proofErr w:type="spellEnd"/>
      <w:r>
        <w:rPr>
          <w:rFonts w:ascii="Times New Roman" w:eastAsia="Times New Roman" w:hAnsi="Times New Roman" w:cs="Times New Roman"/>
        </w:rPr>
        <w:t xml:space="preserve">, G. </w:t>
      </w:r>
      <w:r>
        <w:rPr>
          <w:rFonts w:ascii="Times New Roman" w:eastAsia="Times New Roman" w:hAnsi="Times New Roman" w:cs="Times New Roman"/>
          <w:i/>
        </w:rPr>
        <w:t>Tipos textuales</w:t>
      </w:r>
      <w:r>
        <w:rPr>
          <w:rFonts w:ascii="Times New Roman" w:eastAsia="Times New Roman" w:hAnsi="Times New Roman" w:cs="Times New Roman"/>
        </w:rPr>
        <w:t>. Bs. As.: Facultad de Filosofía y Letras, 1994.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</w:rPr>
        <w:t>Tullio</w:t>
      </w:r>
      <w:proofErr w:type="spellEnd"/>
      <w:r>
        <w:rPr>
          <w:rFonts w:ascii="Times New Roman" w:eastAsia="Times New Roman" w:hAnsi="Times New Roman" w:cs="Times New Roman"/>
        </w:rPr>
        <w:t xml:space="preserve">, Ángela. </w:t>
      </w:r>
      <w:r>
        <w:rPr>
          <w:rFonts w:ascii="Times New Roman" w:eastAsia="Times New Roman" w:hAnsi="Times New Roman" w:cs="Times New Roman"/>
          <w:i/>
        </w:rPr>
        <w:t>Manual de Gramática del español.</w:t>
      </w:r>
      <w:r>
        <w:rPr>
          <w:rFonts w:ascii="Times New Roman" w:eastAsia="Times New Roman" w:hAnsi="Times New Roman" w:cs="Times New Roman"/>
        </w:rPr>
        <w:t xml:space="preserve"> Bs. As.: </w:t>
      </w:r>
      <w:proofErr w:type="spellStart"/>
      <w:r>
        <w:rPr>
          <w:rFonts w:ascii="Times New Roman" w:eastAsia="Times New Roman" w:hAnsi="Times New Roman" w:cs="Times New Roman"/>
        </w:rPr>
        <w:t>Edicial</w:t>
      </w:r>
      <w:proofErr w:type="spellEnd"/>
      <w:r>
        <w:rPr>
          <w:rFonts w:ascii="Times New Roman" w:eastAsia="Times New Roman" w:hAnsi="Times New Roman" w:cs="Times New Roman"/>
        </w:rPr>
        <w:t>, 1997.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Filinich</w:t>
      </w:r>
      <w:proofErr w:type="spellEnd"/>
      <w:r>
        <w:rPr>
          <w:rFonts w:ascii="Times New Roman" w:eastAsia="Times New Roman" w:hAnsi="Times New Roman" w:cs="Times New Roman"/>
        </w:rPr>
        <w:t xml:space="preserve">, M. I. </w:t>
      </w:r>
      <w:r>
        <w:rPr>
          <w:rFonts w:ascii="Times New Roman" w:eastAsia="Times New Roman" w:hAnsi="Times New Roman" w:cs="Times New Roman"/>
          <w:i/>
        </w:rPr>
        <w:t>Enunciación</w:t>
      </w:r>
      <w:r>
        <w:rPr>
          <w:rFonts w:ascii="Times New Roman" w:eastAsia="Times New Roman" w:hAnsi="Times New Roman" w:cs="Times New Roman"/>
        </w:rPr>
        <w:t xml:space="preserve">. Bs. As. : </w:t>
      </w:r>
      <w:proofErr w:type="spellStart"/>
      <w:r>
        <w:rPr>
          <w:rFonts w:ascii="Times New Roman" w:eastAsia="Times New Roman" w:hAnsi="Times New Roman" w:cs="Times New Roman"/>
        </w:rPr>
        <w:t>Eudeba</w:t>
      </w:r>
      <w:proofErr w:type="spellEnd"/>
      <w:r>
        <w:rPr>
          <w:rFonts w:ascii="Times New Roman" w:eastAsia="Times New Roman" w:hAnsi="Times New Roman" w:cs="Times New Roman"/>
        </w:rPr>
        <w:t>, 1998.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 2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proceso de lectura. Posturas críticas sobre la lectura. Los niveles de lectura. Estrategias de comprensión lectora según los formatos textuales. El </w:t>
      </w:r>
      <w:proofErr w:type="spellStart"/>
      <w:r>
        <w:rPr>
          <w:rFonts w:ascii="Times New Roman" w:eastAsia="Times New Roman" w:hAnsi="Times New Roman" w:cs="Times New Roman"/>
        </w:rPr>
        <w:t>paratexto</w:t>
      </w:r>
      <w:proofErr w:type="spellEnd"/>
      <w:r>
        <w:rPr>
          <w:rFonts w:ascii="Times New Roman" w:eastAsia="Times New Roman" w:hAnsi="Times New Roman" w:cs="Times New Roman"/>
        </w:rPr>
        <w:t>. El lector modelo. La estética de la recepción. La lectura en entornos digitales. La lectura de diferentes géneros discursivos y diferentes secuencias textuales.  Los textos académicos: expositivo-explicativos y argumentativos.  Estrategias discursivas de los textos académicos.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Bibliografìa</w:t>
      </w:r>
      <w:proofErr w:type="spellEnd"/>
      <w:r>
        <w:rPr>
          <w:rFonts w:ascii="Times New Roman" w:eastAsia="Times New Roman" w:hAnsi="Times New Roman" w:cs="Times New Roman"/>
          <w:u w:val="single"/>
        </w:rPr>
        <w:t>: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Álvarez Angulo, T. </w:t>
      </w:r>
      <w:r>
        <w:rPr>
          <w:rFonts w:ascii="Times New Roman" w:eastAsia="Times New Roman" w:hAnsi="Times New Roman" w:cs="Times New Roman"/>
          <w:i/>
        </w:rPr>
        <w:t>Textos expositivo-explicativos y argumentativos.</w:t>
      </w:r>
      <w:r>
        <w:rPr>
          <w:rFonts w:ascii="Times New Roman" w:eastAsia="Times New Roman" w:hAnsi="Times New Roman" w:cs="Times New Roman"/>
        </w:rPr>
        <w:t xml:space="preserve"> España: Octaedro, 2004.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Cassany</w:t>
      </w:r>
      <w:proofErr w:type="spellEnd"/>
      <w:r>
        <w:rPr>
          <w:rFonts w:ascii="Times New Roman" w:eastAsia="Times New Roman" w:hAnsi="Times New Roman" w:cs="Times New Roman"/>
        </w:rPr>
        <w:t>, Daniel. “La lectura y la escritura en un mundo cambiante.” Seminario del Departamento de Español, Universidad de Sofía, Tokio, 11/12-12-2009 (En línea)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Jitrik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N. </w:t>
      </w:r>
      <w:r>
        <w:rPr>
          <w:rFonts w:ascii="Times New Roman" w:eastAsia="Times New Roman" w:hAnsi="Times New Roman" w:cs="Times New Roman"/>
          <w:i/>
          <w:color w:val="000000"/>
        </w:rPr>
        <w:t>La lectura como actividad</w:t>
      </w:r>
      <w:r>
        <w:rPr>
          <w:rFonts w:ascii="Times New Roman" w:eastAsia="Times New Roman" w:hAnsi="Times New Roman" w:cs="Times New Roman"/>
          <w:color w:val="000000"/>
        </w:rPr>
        <w:t xml:space="preserve">. México: Premia Editora, 1984.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Sánchez Vázquez, A. Segunda Conferencia. Estética de la Recepción. El cambio d</w:t>
      </w:r>
      <w:r w:rsidR="0079403F">
        <w:rPr>
          <w:rFonts w:ascii="Times New Roman" w:eastAsia="Times New Roman" w:hAnsi="Times New Roman" w:cs="Times New Roman"/>
          <w:color w:val="000000"/>
        </w:rPr>
        <w:t xml:space="preserve">e paradigma (Robert Hans </w:t>
      </w:r>
      <w:proofErr w:type="spellStart"/>
      <w:r w:rsidR="0079403F">
        <w:rPr>
          <w:rFonts w:ascii="Times New Roman" w:eastAsia="Times New Roman" w:hAnsi="Times New Roman" w:cs="Times New Roman"/>
          <w:color w:val="000000"/>
        </w:rPr>
        <w:t>Jauss</w:t>
      </w:r>
      <w:proofErr w:type="spellEnd"/>
      <w:r w:rsidR="0079403F">
        <w:rPr>
          <w:rFonts w:ascii="Times New Roman" w:eastAsia="Times New Roman" w:hAnsi="Times New Roman" w:cs="Times New Roman"/>
          <w:color w:val="000000"/>
        </w:rPr>
        <w:t xml:space="preserve">) en </w:t>
      </w:r>
      <w:hyperlink r:id="rId4" w:history="1">
        <w:r w:rsidR="0079403F" w:rsidRPr="00122666">
          <w:rPr>
            <w:rStyle w:val="Hipervnculo"/>
            <w:rFonts w:ascii="Times New Roman" w:eastAsia="Times New Roman" w:hAnsi="Times New Roman" w:cs="Times New Roman"/>
          </w:rPr>
          <w:t>http://ru.ffyl.unam.mx/bitstream/handle/10391/1843/02_De_la%20Estetica_ASV_2007_2a_Conferencia_31_48.pdf?sequence=1&amp;isAllowed=y</w:t>
        </w:r>
      </w:hyperlink>
      <w:r w:rsidR="0079403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Unidad 3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textos escritos: características. El proceso de escritura: enfoques a través del tiempo. La planificación textual: distintos modelos. El uso de operaciones discursivas en las respuestas del examen parcial. Escritura de textos académicos: recursos y estrategias. Alfabetización digital. La escritura en línea: concepto de </w:t>
      </w:r>
      <w:proofErr w:type="spellStart"/>
      <w:r>
        <w:rPr>
          <w:rFonts w:ascii="Times New Roman" w:eastAsia="Times New Roman" w:hAnsi="Times New Roman" w:cs="Times New Roman"/>
        </w:rPr>
        <w:t>prosumidor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Bibliografía: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Atorresi</w:t>
      </w:r>
      <w:proofErr w:type="spellEnd"/>
      <w:r>
        <w:rPr>
          <w:rFonts w:ascii="Times New Roman" w:eastAsia="Times New Roman" w:hAnsi="Times New Roman" w:cs="Times New Roman"/>
        </w:rPr>
        <w:t xml:space="preserve">, Ana. “Los textos académicos” (en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www.consensocivico.com.ar</w:t>
        </w:r>
      </w:hyperlink>
      <w:r>
        <w:rPr>
          <w:rFonts w:ascii="Times New Roman" w:eastAsia="Times New Roman" w:hAnsi="Times New Roman" w:cs="Times New Roman"/>
        </w:rPr>
        <w:t xml:space="preserve">)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Ferreiro, Emilia. “Nuevas tecnologías y escritura”, en la Revista Docencia, N° 30, 2006 (en línea)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Marinkovich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Ana. “Enfoques de proceso en la producción de textos escritos”. En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Revista Signos 2002, 35(51-52), 217-230 (Versión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line)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Schaufler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 L.; Andrés, Gonzalo. “Del lector 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prosumidor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un pasaje por las rupturas en los estudios de  recepción mediática” en </w:t>
      </w:r>
      <w:r>
        <w:rPr>
          <w:rFonts w:ascii="Times New Roman" w:eastAsia="Times New Roman" w:hAnsi="Times New Roman" w:cs="Times New Roman"/>
          <w:i/>
          <w:color w:val="000000"/>
        </w:rPr>
        <w:t xml:space="preserve">El dispositivo Mc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Luhan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: Recuperaciones y derivaciones. </w:t>
      </w:r>
      <w:r>
        <w:rPr>
          <w:rFonts w:ascii="Times New Roman" w:eastAsia="Times New Roman" w:hAnsi="Times New Roman" w:cs="Times New Roman"/>
          <w:color w:val="000000"/>
        </w:rPr>
        <w:t xml:space="preserve">Jornadas Mc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Rosario, 2011.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Unidad 4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Discurso oral y escrito: diferencias. Los actos de habla. Clases y propósitos. Características de los géneros discursivos dialogales informales: la conversación. </w:t>
      </w:r>
      <w:proofErr w:type="spellStart"/>
      <w:r>
        <w:rPr>
          <w:rFonts w:ascii="Times New Roman" w:eastAsia="Times New Roman" w:hAnsi="Times New Roman" w:cs="Times New Roman"/>
        </w:rPr>
        <w:t>Lectos</w:t>
      </w:r>
      <w:proofErr w:type="spellEnd"/>
      <w:r>
        <w:rPr>
          <w:rFonts w:ascii="Times New Roman" w:eastAsia="Times New Roman" w:hAnsi="Times New Roman" w:cs="Times New Roman"/>
        </w:rPr>
        <w:t xml:space="preserve"> y registros. Planificación del discurso oral. Exposición, dramatización y debate. La escucha personal y pedagógica.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Bibliografía: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Briz, A. “Las unidades de la conversación” en RILCE 16.2 (2000), 225-246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Frías Conde, Xavier. “Introducción a la Pragmática.” En </w:t>
      </w:r>
      <w:proofErr w:type="spellStart"/>
      <w:r>
        <w:rPr>
          <w:rFonts w:ascii="Times New Roman" w:eastAsia="Times New Roman" w:hAnsi="Times New Roman" w:cs="Times New Roman"/>
          <w:i/>
        </w:rPr>
        <w:t>Ianua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Revista </w:t>
      </w:r>
      <w:proofErr w:type="spellStart"/>
      <w:r>
        <w:rPr>
          <w:rFonts w:ascii="Times New Roman" w:eastAsia="Times New Roman" w:hAnsi="Times New Roman" w:cs="Times New Roman"/>
          <w:i/>
        </w:rPr>
        <w:t>Philologica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Romanica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2001.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Rinaldi</w:t>
      </w:r>
      <w:proofErr w:type="spellEnd"/>
      <w:r>
        <w:rPr>
          <w:rFonts w:ascii="Times New Roman" w:eastAsia="Times New Roman" w:hAnsi="Times New Roman" w:cs="Times New Roman"/>
        </w:rPr>
        <w:t xml:space="preserve">, Carlina. La pedagogía de la escucha: La perspectiva de la escucha desde Reggio Emilia. (Versión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line) 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Reyzábal</w:t>
      </w:r>
      <w:proofErr w:type="spellEnd"/>
      <w:r>
        <w:rPr>
          <w:rFonts w:ascii="Times New Roman" w:eastAsia="Times New Roman" w:hAnsi="Times New Roman" w:cs="Times New Roman"/>
        </w:rPr>
        <w:t xml:space="preserve">, M. Victoria. </w:t>
      </w:r>
      <w:r>
        <w:rPr>
          <w:rFonts w:ascii="Times New Roman" w:eastAsia="Times New Roman" w:hAnsi="Times New Roman" w:cs="Times New Roman"/>
          <w:i/>
        </w:rPr>
        <w:t>La comunicación oral y su didáctica</w:t>
      </w:r>
      <w:r>
        <w:rPr>
          <w:rFonts w:ascii="Times New Roman" w:eastAsia="Times New Roman" w:hAnsi="Times New Roman" w:cs="Times New Roman"/>
        </w:rPr>
        <w:t>. Bs. As.: La Muralla, 1997.</w:t>
      </w:r>
    </w:p>
    <w:p w:rsidR="00B45FDF" w:rsidRDefault="00B45FDF" w:rsidP="00B45FDF">
      <w:pPr>
        <w:tabs>
          <w:tab w:val="left" w:pos="568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03DE2" w:rsidRDefault="00703DE2">
      <w:bookmarkStart w:id="0" w:name="_GoBack"/>
      <w:bookmarkEnd w:id="0"/>
    </w:p>
    <w:sectPr w:rsidR="00703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DF"/>
    <w:rsid w:val="00703DE2"/>
    <w:rsid w:val="0079403F"/>
    <w:rsid w:val="008C621E"/>
    <w:rsid w:val="00B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49C6F1-D7B9-4AA8-84C6-4B559D0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D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ensocivico.com.ar/" TargetMode="External"/><Relationship Id="rId4" Type="http://schemas.openxmlformats.org/officeDocument/2006/relationships/hyperlink" Target="http://ru.ffyl.unam.mx/bitstream/handle/10391/1843/02_De_la%20Estetica_ASV_2007_2a_Conferencia_31_48.pdf?sequence=1&amp;isAllowed=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2018-11-23T09:59:00Z</dcterms:created>
  <dcterms:modified xsi:type="dcterms:W3CDTF">2018-11-23T10:24:00Z</dcterms:modified>
</cp:coreProperties>
</file>