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185BBC" w:rsidRDefault="00B723F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Acta de la sesión extraordinaria del 8 de octubre de 2020</w:t>
      </w:r>
    </w:p>
    <w:p w14:paraId="00000002" w14:textId="77777777" w:rsidR="00185BBC" w:rsidRDefault="00185BB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3" w14:textId="77777777" w:rsidR="00185BBC" w:rsidRDefault="00B723F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En Buenos Aires, a los 8 días del mes de octubre de 2020, se reúne el Consejo Directivo del IES en Lenguas Vivas “Juan Ramón Fernández”. Preside la vicerrectora Fabia Arrossi. Se procede a votar vía correo electrónico los últimos artículos del Instructivo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para cubrir interinatos y suplencias del Nivel Superior.  </w:t>
      </w:r>
    </w:p>
    <w:p w14:paraId="00000004" w14:textId="77777777" w:rsidR="00185BBC" w:rsidRDefault="00B723FD">
      <w:pPr>
        <w:shd w:val="clear" w:color="auto" w:fill="FFFFFF"/>
        <w:spacing w:before="200" w:after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 someten a votación los artículos 38 a 41.</w:t>
      </w:r>
    </w:p>
    <w:p w14:paraId="00000005" w14:textId="77777777" w:rsidR="00185BBC" w:rsidRDefault="00B723FD" w:rsidP="00B723FD">
      <w:pPr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ARTÍCULO 38°: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 fin de garantizar el dictado de clases, en el caso de que no hubiera un orden de mérito vigente para la unidad curricular en cuestión, </w:t>
      </w:r>
      <w:r>
        <w:rPr>
          <w:rFonts w:ascii="Times New Roman" w:eastAsia="Times New Roman" w:hAnsi="Times New Roman" w:cs="Times New Roman"/>
          <w:sz w:val="24"/>
          <w:szCs w:val="24"/>
        </w:rPr>
        <w:t>y hasta que se efectivice y concluya un proceso de selección, el Rectorado podrá designar a un docente con recomendación del Director de Carrera, priorizando a) a quienes dicten la unidad en la institución, ponderando a quien tenga más antigüedad en el car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go, b) órdenes de mérito vigentes en otra institución y c) a docentes que dicten una unidad curricular afín. En estos casos el docente será designado con alta y baja por un plazo máximo de 60 días. </w:t>
      </w:r>
    </w:p>
    <w:p w14:paraId="00000006" w14:textId="77777777" w:rsidR="00185BBC" w:rsidRDefault="00185BBC" w:rsidP="00B723FD">
      <w:pPr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77777777" w:rsidR="00185BBC" w:rsidRDefault="00B723FD" w:rsidP="00B723FD">
      <w:pPr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ARTÍCULO 39°: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Si se hubieren cumplimentado todos los pas</w:t>
      </w:r>
      <w:r>
        <w:rPr>
          <w:rFonts w:ascii="Times New Roman" w:eastAsia="Times New Roman" w:hAnsi="Times New Roman" w:cs="Times New Roman"/>
          <w:sz w:val="24"/>
          <w:szCs w:val="24"/>
        </w:rPr>
        <w:t>os previstos en este instructivo y la selección docente se hubiese declarado desierta o si no se hubiese presentado ningún postulante, se realizará un nuevo llamado. Si después de un segundo llamado no se hubiere podido cubrir el cargo o la unidad curricul</w:t>
      </w:r>
      <w:r>
        <w:rPr>
          <w:rFonts w:ascii="Times New Roman" w:eastAsia="Times New Roman" w:hAnsi="Times New Roman" w:cs="Times New Roman"/>
          <w:sz w:val="24"/>
          <w:szCs w:val="24"/>
        </w:rPr>
        <w:t>ar a través de este procedimiento, el Rectorado designará a un docente según los criterios previstos en el artículo 38, pero sin fecha de baja establecida.</w:t>
      </w:r>
    </w:p>
    <w:p w14:paraId="00000008" w14:textId="77777777" w:rsidR="00185BBC" w:rsidRDefault="00185BBC" w:rsidP="00B723FD">
      <w:pPr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77777777" w:rsidR="00185BBC" w:rsidRDefault="00B723FD" w:rsidP="00B723FD">
      <w:pPr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DISPOSICIONES GENERALES</w:t>
      </w:r>
    </w:p>
    <w:p w14:paraId="0000000A" w14:textId="77777777" w:rsidR="00185BBC" w:rsidRDefault="00185BBC" w:rsidP="00B723FD">
      <w:pPr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B" w14:textId="77777777" w:rsidR="00185BBC" w:rsidRDefault="00B723FD" w:rsidP="00B723FD">
      <w:pPr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ARTÍCULO 40°: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Los casos no previstos en el presente Reglamento serán resue</w:t>
      </w:r>
      <w:r>
        <w:rPr>
          <w:rFonts w:ascii="Times New Roman" w:eastAsia="Times New Roman" w:hAnsi="Times New Roman" w:cs="Times New Roman"/>
          <w:sz w:val="24"/>
          <w:szCs w:val="24"/>
        </w:rPr>
        <w:t>ltos por el Consejo Directivo.</w:t>
      </w:r>
    </w:p>
    <w:p w14:paraId="0000000C" w14:textId="77777777" w:rsidR="00185BBC" w:rsidRDefault="00185BBC" w:rsidP="00B723FD">
      <w:pPr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D" w14:textId="77777777" w:rsidR="00185BBC" w:rsidRDefault="00B723FD" w:rsidP="00B723FD">
      <w:pPr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ARTÍCULO 41°: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Los órdenes de mérito anteriores a la aprobación de este reglamento están sujetos al horario estipulado en la convocatoria de su selección docente. </w:t>
      </w:r>
    </w:p>
    <w:p w14:paraId="0000000E" w14:textId="77777777" w:rsidR="00185BBC" w:rsidRDefault="00B723FD">
      <w:pPr>
        <w:shd w:val="clear" w:color="auto" w:fill="FFFFFF"/>
        <w:spacing w:before="200" w:after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 Consejo Directivo resuelve aprobar los artículos 38 a 41.</w:t>
      </w:r>
    </w:p>
    <w:p w14:paraId="0000000F" w14:textId="77777777" w:rsidR="00185BBC" w:rsidRDefault="00B723FD">
      <w:pPr>
        <w:widowControl w:val="0"/>
        <w:shd w:val="clear" w:color="auto" w:fill="FFFFFF"/>
        <w:tabs>
          <w:tab w:val="left" w:pos="382"/>
        </w:tabs>
        <w:spacing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Por la afirmativa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Paula Galdeano,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Surya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Martinez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Olga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Regueira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Franco Monterroso, Agustina Peña Pereyra,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Ursula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Rucker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Laura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Rodriguez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Victoria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Mastandrea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Paula López Cano, Daniel Ferreyra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Fernandez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Florencia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Perduca</w:t>
      </w:r>
      <w:proofErr w:type="spellEnd"/>
    </w:p>
    <w:p w14:paraId="00000010" w14:textId="77777777" w:rsidR="00185BBC" w:rsidRDefault="00B723FD">
      <w:pPr>
        <w:widowControl w:val="0"/>
        <w:shd w:val="clear" w:color="auto" w:fill="FFFFFF"/>
        <w:tabs>
          <w:tab w:val="left" w:pos="382"/>
        </w:tabs>
        <w:spacing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Por la negativa</w:t>
      </w:r>
      <w:r>
        <w:rPr>
          <w:rFonts w:ascii="Times New Roman" w:eastAsia="Times New Roman" w:hAnsi="Times New Roman" w:cs="Times New Roman"/>
          <w:sz w:val="24"/>
          <w:szCs w:val="24"/>
        </w:rPr>
        <w:t>: ningún voto</w:t>
      </w:r>
    </w:p>
    <w:p w14:paraId="00000011" w14:textId="77777777" w:rsidR="00185BBC" w:rsidRDefault="00B723FD">
      <w:pPr>
        <w:widowControl w:val="0"/>
        <w:shd w:val="clear" w:color="auto" w:fill="FFFFFF"/>
        <w:tabs>
          <w:tab w:val="left" w:pos="382"/>
        </w:tabs>
        <w:spacing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Se abstiene</w:t>
      </w:r>
      <w:r>
        <w:rPr>
          <w:rFonts w:ascii="Times New Roman" w:eastAsia="Times New Roman" w:hAnsi="Times New Roman" w:cs="Times New Roman"/>
          <w:sz w:val="24"/>
          <w:szCs w:val="24"/>
        </w:rPr>
        <w:t>: ningún voto</w:t>
      </w:r>
    </w:p>
    <w:p w14:paraId="00000012" w14:textId="77777777" w:rsidR="00185BBC" w:rsidRDefault="00B723FD">
      <w:pPr>
        <w:widowControl w:val="0"/>
        <w:shd w:val="clear" w:color="auto" w:fill="FFFFFF"/>
        <w:tabs>
          <w:tab w:val="left" w:pos="382"/>
        </w:tabs>
        <w:spacing w:line="240" w:lineRule="auto"/>
        <w:ind w:right="14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Se aprueba por unanimidad</w:t>
      </w:r>
    </w:p>
    <w:p w14:paraId="00000013" w14:textId="77777777" w:rsidR="00185BBC" w:rsidRDefault="00185BBC">
      <w:pPr>
        <w:widowControl w:val="0"/>
        <w:shd w:val="clear" w:color="auto" w:fill="FFFFFF"/>
        <w:tabs>
          <w:tab w:val="left" w:pos="382"/>
        </w:tabs>
        <w:spacing w:line="240" w:lineRule="auto"/>
        <w:ind w:right="14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14:paraId="00000014" w14:textId="77777777" w:rsidR="00185BBC" w:rsidRDefault="00B723FD">
      <w:pPr>
        <w:widowControl w:val="0"/>
        <w:shd w:val="clear" w:color="auto" w:fill="FFFFFF"/>
        <w:tabs>
          <w:tab w:val="left" w:pos="382"/>
        </w:tabs>
        <w:spacing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El Consejo Directivo resuelve aprobar las aclaraciones preliminares del </w:t>
      </w:r>
      <w:r>
        <w:rPr>
          <w:rFonts w:ascii="Times New Roman" w:eastAsia="Times New Roman" w:hAnsi="Times New Roman" w:cs="Times New Roman"/>
          <w:sz w:val="24"/>
          <w:szCs w:val="24"/>
        </w:rPr>
        <w:t>“Instructivo para cubrir interinatos y suplencias del Nivel Superior",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con el siguiente texto definitivo:</w:t>
      </w:r>
    </w:p>
    <w:p w14:paraId="00000015" w14:textId="77777777" w:rsidR="00185BBC" w:rsidRDefault="00185BBC">
      <w:pPr>
        <w:widowControl w:val="0"/>
        <w:shd w:val="clear" w:color="auto" w:fill="FFFFFF"/>
        <w:tabs>
          <w:tab w:val="left" w:pos="382"/>
        </w:tabs>
        <w:spacing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16" w14:textId="77777777" w:rsidR="00185BBC" w:rsidRDefault="00B723FD">
      <w:pPr>
        <w:widowControl w:val="0"/>
        <w:shd w:val="clear" w:color="auto" w:fill="FFFFFF"/>
        <w:tabs>
          <w:tab w:val="left" w:pos="382"/>
        </w:tabs>
        <w:spacing w:line="240" w:lineRule="auto"/>
        <w:ind w:left="566" w:right="14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ACLARACIONES PRELIMINARES</w:t>
      </w:r>
    </w:p>
    <w:p w14:paraId="00000017" w14:textId="77777777" w:rsidR="00185BBC" w:rsidRDefault="00185BBC">
      <w:pPr>
        <w:widowControl w:val="0"/>
        <w:shd w:val="clear" w:color="auto" w:fill="FFFFFF"/>
        <w:tabs>
          <w:tab w:val="left" w:pos="382"/>
        </w:tabs>
        <w:spacing w:line="240" w:lineRule="auto"/>
        <w:ind w:left="566" w:right="14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18" w14:textId="77777777" w:rsidR="00185BBC" w:rsidRDefault="00B723FD">
      <w:pPr>
        <w:widowControl w:val="0"/>
        <w:shd w:val="clear" w:color="auto" w:fill="FFFFFF"/>
        <w:tabs>
          <w:tab w:val="left" w:pos="382"/>
        </w:tabs>
        <w:spacing w:line="240" w:lineRule="auto"/>
        <w:ind w:left="566" w:right="14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 fin de regular el procedimiento para cubrir interinatos y suplencias, se establece el presente instructivo, que incluye los siguientes anexos:</w:t>
      </w:r>
    </w:p>
    <w:p w14:paraId="00000019" w14:textId="77777777" w:rsidR="00185BBC" w:rsidRDefault="00B723FD">
      <w:pPr>
        <w:widowControl w:val="0"/>
        <w:shd w:val="clear" w:color="auto" w:fill="FFFFFF"/>
        <w:tabs>
          <w:tab w:val="left" w:pos="382"/>
        </w:tabs>
        <w:spacing w:line="240" w:lineRule="auto"/>
        <w:ind w:left="566" w:right="14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ANEXO I: Modelo de convocatoria para selección docente</w:t>
      </w:r>
    </w:p>
    <w:p w14:paraId="0000001A" w14:textId="77777777" w:rsidR="00185BBC" w:rsidRDefault="00B723FD">
      <w:pPr>
        <w:widowControl w:val="0"/>
        <w:shd w:val="clear" w:color="auto" w:fill="FFFFFF"/>
        <w:tabs>
          <w:tab w:val="left" w:pos="382"/>
        </w:tabs>
        <w:spacing w:line="240" w:lineRule="auto"/>
        <w:ind w:left="566" w:right="14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>ANEXO II: Formato para la pre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sentación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curriculum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vitae en el Nivel Terciario</w:t>
      </w:r>
    </w:p>
    <w:p w14:paraId="0000001B" w14:textId="77777777" w:rsidR="00185BBC" w:rsidRDefault="00B723FD">
      <w:pPr>
        <w:widowControl w:val="0"/>
        <w:shd w:val="clear" w:color="auto" w:fill="FFFFFF"/>
        <w:tabs>
          <w:tab w:val="left" w:pos="382"/>
        </w:tabs>
        <w:spacing w:line="240" w:lineRule="auto"/>
        <w:ind w:left="566" w:right="14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ANEXO III: Criterios de evaluación de la propuesta de trabajo</w:t>
      </w:r>
    </w:p>
    <w:p w14:paraId="0000001C" w14:textId="77777777" w:rsidR="00185BBC" w:rsidRDefault="00B723FD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82"/>
        </w:tabs>
        <w:spacing w:line="240" w:lineRule="auto"/>
        <w:ind w:left="566" w:right="14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ANEXO IV: Modelo de dictamen de selección docente</w:t>
      </w:r>
    </w:p>
    <w:p w14:paraId="0000001D" w14:textId="77777777" w:rsidR="00185BBC" w:rsidRDefault="00185BBC">
      <w:pPr>
        <w:widowControl w:val="0"/>
        <w:shd w:val="clear" w:color="auto" w:fill="FFFFFF"/>
        <w:tabs>
          <w:tab w:val="left" w:pos="382"/>
        </w:tabs>
        <w:spacing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1E" w14:textId="77777777" w:rsidR="00185BBC" w:rsidRDefault="00B723FD">
      <w:pPr>
        <w:widowControl w:val="0"/>
        <w:shd w:val="clear" w:color="auto" w:fill="FFFFFF"/>
        <w:tabs>
          <w:tab w:val="left" w:pos="382"/>
        </w:tabs>
        <w:spacing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Por la afirmativa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Paula Galdeano,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Surya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Martinez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Olga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Regueira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Franco Monterroso, Agustina Peña Pereyra,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Ursula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Rucker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Laura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Rodriguez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Victoria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Mastandrea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Paula López Cano, Daniel Ferreyra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Fernandez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Florencia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Perduca</w:t>
      </w:r>
      <w:proofErr w:type="spellEnd"/>
    </w:p>
    <w:p w14:paraId="0000001F" w14:textId="77777777" w:rsidR="00185BBC" w:rsidRDefault="00B723FD">
      <w:pPr>
        <w:widowControl w:val="0"/>
        <w:shd w:val="clear" w:color="auto" w:fill="FFFFFF"/>
        <w:tabs>
          <w:tab w:val="left" w:pos="382"/>
        </w:tabs>
        <w:spacing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Por la negativa</w:t>
      </w:r>
      <w:r>
        <w:rPr>
          <w:rFonts w:ascii="Times New Roman" w:eastAsia="Times New Roman" w:hAnsi="Times New Roman" w:cs="Times New Roman"/>
          <w:sz w:val="24"/>
          <w:szCs w:val="24"/>
        </w:rPr>
        <w:t>: ningún voto</w:t>
      </w:r>
    </w:p>
    <w:p w14:paraId="00000020" w14:textId="77777777" w:rsidR="00185BBC" w:rsidRDefault="00B723FD">
      <w:pPr>
        <w:widowControl w:val="0"/>
        <w:shd w:val="clear" w:color="auto" w:fill="FFFFFF"/>
        <w:tabs>
          <w:tab w:val="left" w:pos="382"/>
        </w:tabs>
        <w:spacing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Se abstiene</w:t>
      </w:r>
      <w:r>
        <w:rPr>
          <w:rFonts w:ascii="Times New Roman" w:eastAsia="Times New Roman" w:hAnsi="Times New Roman" w:cs="Times New Roman"/>
          <w:sz w:val="24"/>
          <w:szCs w:val="24"/>
        </w:rPr>
        <w:t>: nin</w:t>
      </w:r>
      <w:r>
        <w:rPr>
          <w:rFonts w:ascii="Times New Roman" w:eastAsia="Times New Roman" w:hAnsi="Times New Roman" w:cs="Times New Roman"/>
          <w:sz w:val="24"/>
          <w:szCs w:val="24"/>
        </w:rPr>
        <w:t>gún voto</w:t>
      </w:r>
    </w:p>
    <w:p w14:paraId="00000022" w14:textId="77777777" w:rsidR="00185BBC" w:rsidRDefault="00B723FD">
      <w:pPr>
        <w:widowControl w:val="0"/>
        <w:shd w:val="clear" w:color="auto" w:fill="FFFFFF"/>
        <w:tabs>
          <w:tab w:val="left" w:pos="382"/>
        </w:tabs>
        <w:spacing w:line="240" w:lineRule="auto"/>
        <w:ind w:right="14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Se aprueba por unanimidad</w:t>
      </w:r>
    </w:p>
    <w:p w14:paraId="00000023" w14:textId="77777777" w:rsidR="00185BBC" w:rsidRDefault="00185BBC">
      <w:pPr>
        <w:widowControl w:val="0"/>
        <w:shd w:val="clear" w:color="auto" w:fill="FFFFFF"/>
        <w:tabs>
          <w:tab w:val="left" w:pos="382"/>
        </w:tabs>
        <w:spacing w:line="240" w:lineRule="auto"/>
        <w:ind w:right="14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14:paraId="00000024" w14:textId="77777777" w:rsidR="00185BBC" w:rsidRDefault="00B723FD">
      <w:pPr>
        <w:widowControl w:val="0"/>
        <w:shd w:val="clear" w:color="auto" w:fill="FFFFFF"/>
        <w:tabs>
          <w:tab w:val="left" w:pos="382"/>
        </w:tabs>
        <w:spacing w:before="20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 Consejo Directivo resuelve elevar a las autoridades de la DENS el “Instructivo para cubrir interinatos y suplencias del Nivel Superior", aprobado en un todo, con sus anexos, acompañado de la siguiente carta:</w:t>
      </w:r>
    </w:p>
    <w:p w14:paraId="00000025" w14:textId="77777777" w:rsidR="00185BBC" w:rsidRDefault="00B723FD">
      <w:pPr>
        <w:widowControl w:val="0"/>
        <w:shd w:val="clear" w:color="auto" w:fill="FFFFFF"/>
        <w:tabs>
          <w:tab w:val="left" w:pos="382"/>
        </w:tabs>
        <w:spacing w:line="240" w:lineRule="auto"/>
        <w:ind w:left="566"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la Dirección de Escuelas Normales y Superio</w:t>
      </w:r>
      <w:r>
        <w:rPr>
          <w:rFonts w:ascii="Times New Roman" w:eastAsia="Times New Roman" w:hAnsi="Times New Roman" w:cs="Times New Roman"/>
          <w:sz w:val="24"/>
          <w:szCs w:val="24"/>
        </w:rPr>
        <w:t>res</w:t>
      </w:r>
    </w:p>
    <w:p w14:paraId="00000026" w14:textId="77777777" w:rsidR="00185BBC" w:rsidRDefault="00B723FD">
      <w:pPr>
        <w:widowControl w:val="0"/>
        <w:shd w:val="clear" w:color="auto" w:fill="FFFFFF"/>
        <w:tabs>
          <w:tab w:val="left" w:pos="382"/>
        </w:tabs>
        <w:spacing w:line="240" w:lineRule="auto"/>
        <w:ind w:left="566"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Prof. Valeria Casero</w:t>
      </w:r>
    </w:p>
    <w:p w14:paraId="00000027" w14:textId="77777777" w:rsidR="00185BBC" w:rsidRDefault="00B723FD">
      <w:pPr>
        <w:widowControl w:val="0"/>
        <w:shd w:val="clear" w:color="auto" w:fill="FFFFFF"/>
        <w:tabs>
          <w:tab w:val="left" w:pos="382"/>
        </w:tabs>
        <w:spacing w:line="240" w:lineRule="auto"/>
        <w:ind w:left="566"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00000028" w14:textId="77777777" w:rsidR="00185BBC" w:rsidRDefault="00B723FD">
      <w:pPr>
        <w:widowControl w:val="0"/>
        <w:shd w:val="clear" w:color="auto" w:fill="FFFFFF"/>
        <w:tabs>
          <w:tab w:val="left" w:pos="382"/>
        </w:tabs>
        <w:spacing w:line="240" w:lineRule="auto"/>
        <w:ind w:left="566"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Ref.: Presentación del “Instructivo para cubrir interinatos y suplencias del Nivel Superior” aprobado por el Consejo Directivo del IESLVJRF. </w:t>
      </w:r>
    </w:p>
    <w:p w14:paraId="00000029" w14:textId="77777777" w:rsidR="00185BBC" w:rsidRDefault="00B723FD">
      <w:pPr>
        <w:widowControl w:val="0"/>
        <w:shd w:val="clear" w:color="auto" w:fill="FFFFFF"/>
        <w:tabs>
          <w:tab w:val="left" w:pos="382"/>
        </w:tabs>
        <w:spacing w:line="240" w:lineRule="auto"/>
        <w:ind w:left="566"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2A" w14:textId="77777777" w:rsidR="00185BBC" w:rsidRDefault="00B723FD" w:rsidP="00B723FD">
      <w:pPr>
        <w:widowControl w:val="0"/>
        <w:shd w:val="clear" w:color="auto" w:fill="FFFFFF"/>
        <w:tabs>
          <w:tab w:val="left" w:pos="382"/>
        </w:tabs>
        <w:spacing w:after="120" w:line="240" w:lineRule="auto"/>
        <w:ind w:left="567" w:right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Luego de analizar el documento presentado por las autoridades de la DENS, cuyo títul</w:t>
      </w:r>
      <w:r>
        <w:rPr>
          <w:rFonts w:ascii="Times New Roman" w:eastAsia="Times New Roman" w:hAnsi="Times New Roman" w:cs="Times New Roman"/>
          <w:sz w:val="24"/>
          <w:szCs w:val="24"/>
        </w:rPr>
        <w:t>o es “Selección de Antecedentes”, el Consejo Directivo del IES en Lenguas Vivas “Juan Ramón Fernández” expresa, a través de esta nota, una serie de objeciones y preocupaciones sobre los lineamientos plasmados en este documento de trabajo.</w:t>
      </w:r>
    </w:p>
    <w:p w14:paraId="0000002B" w14:textId="77777777" w:rsidR="00185BBC" w:rsidRDefault="00B723FD" w:rsidP="00B723FD">
      <w:pPr>
        <w:widowControl w:val="0"/>
        <w:shd w:val="clear" w:color="auto" w:fill="FFFFFF"/>
        <w:tabs>
          <w:tab w:val="left" w:pos="382"/>
        </w:tabs>
        <w:spacing w:after="120" w:line="240" w:lineRule="auto"/>
        <w:ind w:left="567" w:right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 principio, a n</w:t>
      </w:r>
      <w:r>
        <w:rPr>
          <w:rFonts w:ascii="Times New Roman" w:eastAsia="Times New Roman" w:hAnsi="Times New Roman" w:cs="Times New Roman"/>
          <w:sz w:val="24"/>
          <w:szCs w:val="24"/>
        </w:rPr>
        <w:t>uestro entender, no consideramos una decisión acertada que este proceso se denomine “selección de antecedentes”, ya que este rótulo estaría privilegiando la antigüedad docente y las titulaciones en el proceso de selección. Desde hace más de una década, nue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stra institución utiliza un procedimiento que pondera de manera equitativa el proyecto de trabajo y los antecedentes académicos y antigüedad docente de los postulantes. </w:t>
      </w:r>
    </w:p>
    <w:p w14:paraId="0000002C" w14:textId="77777777" w:rsidR="00185BBC" w:rsidRDefault="00B723FD" w:rsidP="00B723FD">
      <w:pPr>
        <w:widowControl w:val="0"/>
        <w:shd w:val="clear" w:color="auto" w:fill="FFFFFF"/>
        <w:tabs>
          <w:tab w:val="left" w:pos="382"/>
        </w:tabs>
        <w:spacing w:after="120" w:line="240" w:lineRule="auto"/>
        <w:ind w:left="567" w:right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 este sentido, la implementación de una grilla de evaluación con puntaje va en detri</w:t>
      </w:r>
      <w:r>
        <w:rPr>
          <w:rFonts w:ascii="Times New Roman" w:eastAsia="Times New Roman" w:hAnsi="Times New Roman" w:cs="Times New Roman"/>
          <w:sz w:val="24"/>
          <w:szCs w:val="24"/>
        </w:rPr>
        <w:t>mento de la valoración cualitativa que se realiza de forma exhaustiva en nuestra institución a través de una rúbrica con descriptores detallados que contemplan un amplio abanico de criterios de evaluación de antecedentes y de la propuesta de trabajo. La so</w:t>
      </w:r>
      <w:r>
        <w:rPr>
          <w:rFonts w:ascii="Times New Roman" w:eastAsia="Times New Roman" w:hAnsi="Times New Roman" w:cs="Times New Roman"/>
          <w:sz w:val="24"/>
          <w:szCs w:val="24"/>
        </w:rPr>
        <w:t>brevaloración de los antecedentes y la antigüedad restringe el acceso a la carrera docente en el nivel superior a profesores más jóvenes, obtura la posibilidad de generar mayor diversidad e inclusión en el cuerpo docente de las instituciones y perpetúa prá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cticas endogámicas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fosilizantes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 estériles en el seno del sistema. </w:t>
      </w:r>
    </w:p>
    <w:p w14:paraId="0000002D" w14:textId="77777777" w:rsidR="00185BBC" w:rsidRDefault="00B723FD" w:rsidP="00B723FD">
      <w:pPr>
        <w:widowControl w:val="0"/>
        <w:shd w:val="clear" w:color="auto" w:fill="FFFFFF"/>
        <w:tabs>
          <w:tab w:val="left" w:pos="382"/>
        </w:tabs>
        <w:spacing w:after="120" w:line="240" w:lineRule="auto"/>
        <w:ind w:left="567" w:right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 cuanto a la composición de la comisión evaluadora, consideramos importante señalar que nuestro Consejo Directivo avaló en la votación de nuestro instructivo para selecciones docentes 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participación de un estudiante como miembro pleno en el proceso de selección como una instancia formativa innovadora y de profundo espíritu democrático. </w:t>
      </w:r>
    </w:p>
    <w:p w14:paraId="0000002E" w14:textId="77777777" w:rsidR="00185BBC" w:rsidRDefault="00B723FD" w:rsidP="00B723FD">
      <w:pPr>
        <w:widowControl w:val="0"/>
        <w:shd w:val="clear" w:color="auto" w:fill="FFFFFF"/>
        <w:tabs>
          <w:tab w:val="left" w:pos="382"/>
        </w:tabs>
        <w:spacing w:after="120" w:line="240" w:lineRule="auto"/>
        <w:ind w:left="567" w:right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Asimismo, vemos con preocupación el requerimiento de un evaluador externo para todas las instancias </w:t>
      </w:r>
      <w:r>
        <w:rPr>
          <w:rFonts w:ascii="Times New Roman" w:eastAsia="Times New Roman" w:hAnsi="Times New Roman" w:cs="Times New Roman"/>
          <w:sz w:val="24"/>
          <w:szCs w:val="24"/>
        </w:rPr>
        <w:t>de selección docente ya que esto implicaría una demora sustancial en el armado de las comisiones debido a la especificidad de muchos de los espacios curriculares de nuestras carreras.</w:t>
      </w:r>
    </w:p>
    <w:p w14:paraId="0000002F" w14:textId="77777777" w:rsidR="00185BBC" w:rsidRDefault="00B723FD" w:rsidP="00B723FD">
      <w:pPr>
        <w:widowControl w:val="0"/>
        <w:shd w:val="clear" w:color="auto" w:fill="FFFFFF"/>
        <w:tabs>
          <w:tab w:val="left" w:pos="382"/>
        </w:tabs>
        <w:spacing w:after="120" w:line="240" w:lineRule="auto"/>
        <w:ind w:left="567" w:right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 otro orden de cosas, quisiéramos señalar que la redacción del documen</w:t>
      </w:r>
      <w:r>
        <w:rPr>
          <w:rFonts w:ascii="Times New Roman" w:eastAsia="Times New Roman" w:hAnsi="Times New Roman" w:cs="Times New Roman"/>
          <w:sz w:val="24"/>
          <w:szCs w:val="24"/>
        </w:rPr>
        <w:t>to de trabajo es algo confusa y evidencia ciertas lagunas de sentido, lo cual sugiere que se trata de una compilación inconexa de distintos artículos extraídos de diversos instructivos y reglamentos de algunas instituciones de formación docente. Esta afirm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ación surge de la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constatación de quienes se desempeñan en varias instituciones, como sucede con muchos de los miembros del CD, que ya conocen y han experimentado por sí mismos las dificultades que atraviesan esas instituciones debido a este tipo de lineam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ientos para las selecciones docentes. </w:t>
      </w:r>
    </w:p>
    <w:p w14:paraId="00000030" w14:textId="77777777" w:rsidR="00185BBC" w:rsidRDefault="00B723FD" w:rsidP="00B723FD">
      <w:pPr>
        <w:widowControl w:val="0"/>
        <w:shd w:val="clear" w:color="auto" w:fill="FFFFFF"/>
        <w:tabs>
          <w:tab w:val="left" w:pos="382"/>
        </w:tabs>
        <w:spacing w:after="120" w:line="240" w:lineRule="auto"/>
        <w:ind w:left="567" w:right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Aspiramos a que se reconsideren algunas de estas dificultades para generar pautas claras y consensuadas para la tramitación de estas instancias que contemplen un marco normativo para el nivel superior de la jurisdicci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ón, pero que al mismo tiempo pueda albergar las necesidades específicas y la identidad académica de cada institución. </w:t>
      </w:r>
    </w:p>
    <w:p w14:paraId="00000031" w14:textId="77777777" w:rsidR="00185BBC" w:rsidRDefault="00B723FD" w:rsidP="00B723FD">
      <w:pPr>
        <w:widowControl w:val="0"/>
        <w:shd w:val="clear" w:color="auto" w:fill="FFFFFF"/>
        <w:tabs>
          <w:tab w:val="left" w:pos="382"/>
        </w:tabs>
        <w:spacing w:after="120" w:line="240" w:lineRule="auto"/>
        <w:ind w:left="567" w:right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Vemos en algunos aspectos de este documento una erosión de la poca autonomía de los institutos de nivel terciario. Es importante para la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consolidación de las identidades de los profesorados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traductorados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nivel terciario una mayor atención a las especificidades y experticias particulares de la enseñanza y traducción de lenguas adicionales.   </w:t>
      </w:r>
    </w:p>
    <w:p w14:paraId="00000032" w14:textId="77777777" w:rsidR="00185BBC" w:rsidRDefault="00B723FD" w:rsidP="00B723FD">
      <w:pPr>
        <w:widowControl w:val="0"/>
        <w:shd w:val="clear" w:color="auto" w:fill="FFFFFF"/>
        <w:tabs>
          <w:tab w:val="left" w:pos="382"/>
        </w:tabs>
        <w:spacing w:after="120" w:line="240" w:lineRule="auto"/>
        <w:ind w:left="567" w:right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Consideramos, en este sentido, que la extens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ión del período de consultas redundará en la construcción de un documento con mayores niveles de compromiso de los actores institucionales. </w:t>
      </w:r>
    </w:p>
    <w:p w14:paraId="00000033" w14:textId="77777777" w:rsidR="00185BBC" w:rsidRDefault="00B723FD" w:rsidP="00B723FD">
      <w:pPr>
        <w:widowControl w:val="0"/>
        <w:shd w:val="clear" w:color="auto" w:fill="FFFFFF"/>
        <w:tabs>
          <w:tab w:val="left" w:pos="382"/>
        </w:tabs>
        <w:spacing w:after="120" w:line="240" w:lineRule="auto"/>
        <w:ind w:left="567" w:right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Queremos destacar que el IES en Lenguas Vivas “Juan Ramón Fernández” ha trabajado durante muchos años en la elaboración colaborativa y democrática del “Instructivo para cubrir interinatos y suplencias del nivel superior” que acaba de aprobar el Consejo Dir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ectivo y que acompaña esta nota, así como en otros documentos tanto para las comisiones evaluadoras como para los aspirantes. </w:t>
      </w:r>
    </w:p>
    <w:p w14:paraId="00000035" w14:textId="7F07D950" w:rsidR="00185BBC" w:rsidRDefault="00B723FD">
      <w:pPr>
        <w:widowControl w:val="0"/>
        <w:shd w:val="clear" w:color="auto" w:fill="FFFFFF"/>
        <w:tabs>
          <w:tab w:val="left" w:pos="382"/>
        </w:tabs>
        <w:spacing w:line="240" w:lineRule="auto"/>
        <w:ind w:left="566"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 último, quisiéramos enfatizar que el Instructivo que se presenta es el producto de un trabajo muy serio de intercambio y ard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uas </w:t>
      </w:r>
      <w:r>
        <w:rPr>
          <w:rFonts w:ascii="Times New Roman" w:eastAsia="Times New Roman" w:hAnsi="Times New Roman" w:cs="Times New Roman"/>
          <w:sz w:val="24"/>
          <w:szCs w:val="24"/>
        </w:rPr>
        <w:t>conversaciones y argumentos, en los que se discutieron las ventajas y desventajas de cada posibilidad y en los que se votó a favor de que participen los estudiantes. Se trata de un proyecto que es producto de más de diez años de distintas versiones qu</w:t>
      </w:r>
      <w:r>
        <w:rPr>
          <w:rFonts w:ascii="Times New Roman" w:eastAsia="Times New Roman" w:hAnsi="Times New Roman" w:cs="Times New Roman"/>
          <w:sz w:val="24"/>
          <w:szCs w:val="24"/>
        </w:rPr>
        <w:t>e fueron perfeccionándose. Este es el documento que elaboramos en la institución y que se votó, por lo cual tiene el aval del CD.</w:t>
      </w:r>
    </w:p>
    <w:p w14:paraId="00000036" w14:textId="77777777" w:rsidR="00185BBC" w:rsidRDefault="00185BBC">
      <w:pPr>
        <w:widowControl w:val="0"/>
        <w:shd w:val="clear" w:color="auto" w:fill="FFFFFF"/>
        <w:tabs>
          <w:tab w:val="left" w:pos="382"/>
        </w:tabs>
        <w:spacing w:line="240" w:lineRule="auto"/>
        <w:ind w:left="566"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7" w14:textId="77777777" w:rsidR="00185BBC" w:rsidRDefault="00B723FD">
      <w:pPr>
        <w:widowControl w:val="0"/>
        <w:shd w:val="clear" w:color="auto" w:fill="FFFFFF"/>
        <w:tabs>
          <w:tab w:val="left" w:pos="382"/>
        </w:tabs>
        <w:spacing w:line="240" w:lineRule="auto"/>
        <w:ind w:left="566" w:right="14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Consejo Directivo del IESLVJRF</w:t>
      </w:r>
    </w:p>
    <w:p w14:paraId="00000038" w14:textId="77777777" w:rsidR="00185BBC" w:rsidRDefault="00185BBC">
      <w:pPr>
        <w:widowControl w:val="0"/>
        <w:shd w:val="clear" w:color="auto" w:fill="FFFFFF"/>
        <w:tabs>
          <w:tab w:val="left" w:pos="382"/>
        </w:tabs>
        <w:spacing w:line="240" w:lineRule="auto"/>
        <w:ind w:left="566" w:right="1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0000039" w14:textId="1662601C" w:rsidR="00185BBC" w:rsidRDefault="00B723FD">
      <w:pPr>
        <w:widowControl w:val="0"/>
        <w:shd w:val="clear" w:color="auto" w:fill="FFFFFF"/>
        <w:tabs>
          <w:tab w:val="left" w:pos="382"/>
        </w:tabs>
        <w:spacing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Por la afirmativa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Paula Galdeano,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Surya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Martinez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Olga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Regueira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Franco Monterroso, Agustina Peña Pereyra,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Ursula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Rucker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Laura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Rodriguez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Victoria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Mastandrea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Paula López Cano, Daniel Ferreyra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Fernandez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Florencia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Perduca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3A" w14:textId="570DD8D4" w:rsidR="00185BBC" w:rsidRDefault="00B723FD">
      <w:pPr>
        <w:widowControl w:val="0"/>
        <w:shd w:val="clear" w:color="auto" w:fill="FFFFFF"/>
        <w:tabs>
          <w:tab w:val="left" w:pos="382"/>
        </w:tabs>
        <w:spacing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Por la negativa</w:t>
      </w:r>
      <w:r>
        <w:rPr>
          <w:rFonts w:ascii="Times New Roman" w:eastAsia="Times New Roman" w:hAnsi="Times New Roman" w:cs="Times New Roman"/>
          <w:sz w:val="24"/>
          <w:szCs w:val="24"/>
        </w:rPr>
        <w:t>: ningún voto.</w:t>
      </w:r>
    </w:p>
    <w:p w14:paraId="0000003B" w14:textId="494421DE" w:rsidR="00185BBC" w:rsidRDefault="00B723FD">
      <w:pPr>
        <w:widowControl w:val="0"/>
        <w:shd w:val="clear" w:color="auto" w:fill="FFFFFF"/>
        <w:tabs>
          <w:tab w:val="left" w:pos="382"/>
        </w:tabs>
        <w:spacing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Se abstiene</w:t>
      </w:r>
      <w:r>
        <w:rPr>
          <w:rFonts w:ascii="Times New Roman" w:eastAsia="Times New Roman" w:hAnsi="Times New Roman" w:cs="Times New Roman"/>
          <w:sz w:val="24"/>
          <w:szCs w:val="24"/>
        </w:rPr>
        <w:t>: nin</w:t>
      </w:r>
      <w:r>
        <w:rPr>
          <w:rFonts w:ascii="Times New Roman" w:eastAsia="Times New Roman" w:hAnsi="Times New Roman" w:cs="Times New Roman"/>
          <w:sz w:val="24"/>
          <w:szCs w:val="24"/>
        </w:rPr>
        <w:t>gún voto.</w:t>
      </w:r>
    </w:p>
    <w:p w14:paraId="0000003C" w14:textId="77777777" w:rsidR="00185BBC" w:rsidRDefault="00185BBC">
      <w:pPr>
        <w:widowControl w:val="0"/>
        <w:shd w:val="clear" w:color="auto" w:fill="FFFFFF"/>
        <w:tabs>
          <w:tab w:val="left" w:pos="382"/>
        </w:tabs>
        <w:spacing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D" w14:textId="77777777" w:rsidR="00185BBC" w:rsidRDefault="00B723FD">
      <w:pPr>
        <w:widowControl w:val="0"/>
        <w:shd w:val="clear" w:color="auto" w:fill="FFFFFF"/>
        <w:tabs>
          <w:tab w:val="left" w:pos="382"/>
        </w:tabs>
        <w:spacing w:line="240" w:lineRule="auto"/>
        <w:ind w:right="14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Se aprueba por unanimidad</w:t>
      </w:r>
    </w:p>
    <w:sectPr w:rsidR="00185BBC" w:rsidSect="00B723FD">
      <w:pgSz w:w="11909" w:h="16834"/>
      <w:pgMar w:top="1134" w:right="1277" w:bottom="1134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BBC"/>
    <w:rsid w:val="00185BBC"/>
    <w:rsid w:val="00B7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8C6E0"/>
  <w15:docId w15:val="{EDCAF552-0686-4F74-B5C6-C3CFA728C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s-419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1275</Words>
  <Characters>7017</Characters>
  <Application>Microsoft Office Word</Application>
  <DocSecurity>0</DocSecurity>
  <Lines>58</Lines>
  <Paragraphs>16</Paragraphs>
  <ScaleCrop>false</ScaleCrop>
  <Company/>
  <LinksUpToDate>false</LinksUpToDate>
  <CharactersWithSpaces>8276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Fabia Arrossi</cp:lastModifiedBy>
  <cp:revision>2</cp:revision>
  <dcterms:created xsi:type="dcterms:W3CDTF">2020-10-12T20:42:00Z</dcterms:created>
  <dcterms:modified xsi:type="dcterms:W3CDTF">2020-10-12T20:42:00Z</dcterms:modified>
</cp:coreProperties>
</file>