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F0" w:rsidRDefault="00BD4EF0" w:rsidP="00BD4E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-139065</wp:posOffset>
            </wp:positionV>
            <wp:extent cx="781050" cy="914400"/>
            <wp:effectExtent l="1905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  <w:noProof/>
        </w:rPr>
        <w:drawing>
          <wp:inline distT="0" distB="0" distL="0" distR="0">
            <wp:extent cx="447675" cy="657225"/>
            <wp:effectExtent l="19050" t="0" r="9525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EF0" w:rsidRDefault="00BD4EF0" w:rsidP="00BD4EF0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GOBIERNO DE LA CIUDAD DE BUENOS AIRES</w:t>
      </w:r>
    </w:p>
    <w:p w:rsidR="00BD4EF0" w:rsidRDefault="00BD4EF0" w:rsidP="00BD4EF0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"2022 - Año del 40° Aniversario de la Guerra de Malvinas. En homenaje a los veteranos y caídos en la defensa de las Islas Malvinas y el Atlántico Sur"</w:t>
      </w:r>
    </w:p>
    <w:p w:rsidR="00BD4EF0" w:rsidRDefault="00BD4EF0" w:rsidP="00BD4EF0">
      <w:pPr>
        <w:pStyle w:val="normal0"/>
        <w:tabs>
          <w:tab w:val="left" w:pos="0"/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DE ENSEÑANZA SUPERIOR EN LENGUAS VIVAS </w:t>
      </w:r>
    </w:p>
    <w:p w:rsidR="00BD4EF0" w:rsidRDefault="00BD4EF0" w:rsidP="00BD4EF0">
      <w:pPr>
        <w:pStyle w:val="normal0"/>
        <w:tabs>
          <w:tab w:val="left" w:pos="0"/>
          <w:tab w:val="left" w:pos="540"/>
        </w:tabs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“JUAN RAMÓN FERNÁNDEZ”</w:t>
      </w:r>
    </w:p>
    <w:p w:rsidR="00D94894" w:rsidRPr="009E4035" w:rsidRDefault="00D94894" w:rsidP="009E4035">
      <w:pPr>
        <w:spacing w:after="120" w:line="360" w:lineRule="auto"/>
        <w:jc w:val="center"/>
        <w:rPr>
          <w:rFonts w:ascii="Arial" w:hAnsi="Arial" w:cs="Arial"/>
        </w:rPr>
      </w:pPr>
    </w:p>
    <w:p w:rsidR="00614FDF" w:rsidRPr="009E4035" w:rsidRDefault="00334FB5" w:rsidP="009E4035">
      <w:pPr>
        <w:spacing w:after="120" w:line="360" w:lineRule="auto"/>
        <w:jc w:val="center"/>
        <w:rPr>
          <w:rFonts w:ascii="Arial" w:hAnsi="Arial" w:cs="Arial"/>
        </w:rPr>
      </w:pPr>
      <w:r w:rsidRPr="009E4035">
        <w:rPr>
          <w:rFonts w:ascii="Arial" w:hAnsi="Arial" w:cs="Arial"/>
        </w:rPr>
        <w:t>Ciclo O</w:t>
      </w:r>
      <w:r w:rsidR="00614FDF" w:rsidRPr="009E4035">
        <w:rPr>
          <w:rFonts w:ascii="Arial" w:hAnsi="Arial" w:cs="Arial"/>
        </w:rPr>
        <w:t>rientado en Ciencias Sociales y Humanidades</w:t>
      </w:r>
    </w:p>
    <w:p w:rsidR="00D94894" w:rsidRPr="009E4035" w:rsidRDefault="00614FDF" w:rsidP="009E4035">
      <w:pPr>
        <w:spacing w:after="120" w:line="360" w:lineRule="auto"/>
        <w:jc w:val="center"/>
        <w:rPr>
          <w:rFonts w:ascii="Arial" w:hAnsi="Arial" w:cs="Arial"/>
          <w:b/>
        </w:rPr>
      </w:pPr>
      <w:r w:rsidRPr="009E4035">
        <w:rPr>
          <w:rFonts w:ascii="Arial" w:hAnsi="Arial" w:cs="Arial"/>
          <w:b/>
        </w:rPr>
        <w:t xml:space="preserve">Programa </w:t>
      </w:r>
    </w:p>
    <w:p w:rsidR="00614FDF" w:rsidRPr="009E4035" w:rsidRDefault="00737744" w:rsidP="009E4035">
      <w:pPr>
        <w:spacing w:after="120" w:line="360" w:lineRule="auto"/>
        <w:jc w:val="center"/>
        <w:rPr>
          <w:rFonts w:ascii="Arial" w:hAnsi="Arial" w:cs="Arial"/>
          <w:b/>
        </w:rPr>
      </w:pPr>
      <w:r w:rsidRPr="009E4035">
        <w:rPr>
          <w:rFonts w:ascii="Arial" w:hAnsi="Arial" w:cs="Arial"/>
          <w:b/>
        </w:rPr>
        <w:t>Formación Ética y Ciudadana</w:t>
      </w:r>
    </w:p>
    <w:p w:rsidR="00614FDF" w:rsidRDefault="00737744" w:rsidP="009E4035">
      <w:pPr>
        <w:spacing w:after="120" w:line="360" w:lineRule="auto"/>
        <w:jc w:val="center"/>
        <w:rPr>
          <w:rFonts w:ascii="Arial" w:hAnsi="Arial" w:cs="Arial"/>
          <w:b/>
        </w:rPr>
      </w:pPr>
      <w:r w:rsidRPr="009E4035">
        <w:rPr>
          <w:rFonts w:ascii="Arial" w:hAnsi="Arial" w:cs="Arial"/>
          <w:b/>
        </w:rPr>
        <w:t>4</w:t>
      </w:r>
      <w:r w:rsidR="00614FDF" w:rsidRPr="009E4035">
        <w:rPr>
          <w:rFonts w:ascii="Arial" w:hAnsi="Arial" w:cs="Arial"/>
          <w:b/>
        </w:rPr>
        <w:t>º 3ª</w:t>
      </w:r>
      <w:r w:rsidR="008B6384">
        <w:rPr>
          <w:rFonts w:ascii="Arial" w:hAnsi="Arial" w:cs="Arial"/>
          <w:b/>
        </w:rPr>
        <w:t>- 2022</w:t>
      </w:r>
    </w:p>
    <w:p w:rsidR="00684F44" w:rsidRPr="009E4035" w:rsidRDefault="00BD4EF0" w:rsidP="00BD4EF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Docente: </w:t>
      </w:r>
      <w:r>
        <w:rPr>
          <w:rFonts w:ascii="Arial" w:hAnsi="Arial" w:cs="Arial"/>
        </w:rPr>
        <w:t xml:space="preserve">Carla </w:t>
      </w:r>
      <w:proofErr w:type="spellStart"/>
      <w:r>
        <w:rPr>
          <w:rFonts w:ascii="Arial" w:hAnsi="Arial" w:cs="Arial"/>
        </w:rPr>
        <w:t>Bertotti</w:t>
      </w:r>
      <w:proofErr w:type="spellEnd"/>
    </w:p>
    <w:p w:rsidR="0054058C" w:rsidRPr="009E4035" w:rsidRDefault="0054058C" w:rsidP="009E4035">
      <w:pPr>
        <w:spacing w:after="120" w:line="360" w:lineRule="auto"/>
        <w:jc w:val="both"/>
        <w:rPr>
          <w:rFonts w:ascii="Arial" w:hAnsi="Arial" w:cs="Arial"/>
          <w:b/>
        </w:rPr>
      </w:pPr>
      <w:r w:rsidRPr="009E4035">
        <w:rPr>
          <w:rFonts w:ascii="Arial" w:hAnsi="Arial" w:cs="Arial"/>
          <w:b/>
          <w:u w:val="single"/>
        </w:rPr>
        <w:t>Objetivos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 xml:space="preserve">En el desarrollo de esta asignatura, esperamos que los estudiantes sean capaces de: 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-</w:t>
      </w:r>
      <w:r w:rsidRPr="009E4035">
        <w:rPr>
          <w:rFonts w:ascii="Arial" w:hAnsi="Arial" w:cs="Arial"/>
        </w:rPr>
        <w:tab/>
        <w:t>Reconocer la diferencia entre legitimidad y legalidad, y la complejidad de las dinámicas que dan lugar a los consensos y acuerdos políticos en el sistema democrático y la forma republicana de gobierno.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-</w:t>
      </w:r>
      <w:r w:rsidRPr="009E4035">
        <w:rPr>
          <w:rFonts w:ascii="Arial" w:hAnsi="Arial" w:cs="Arial"/>
        </w:rPr>
        <w:tab/>
        <w:t xml:space="preserve">Explicar las consecuencias de la interrupción del orden democrático.  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-</w:t>
      </w:r>
      <w:r w:rsidRPr="009E4035">
        <w:rPr>
          <w:rFonts w:ascii="Arial" w:hAnsi="Arial" w:cs="Arial"/>
        </w:rPr>
        <w:tab/>
        <w:t>Conocer el sistema de protección de derechos humanos nacional e internacional, y analizar casos de violación de los mismos.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-</w:t>
      </w:r>
      <w:r w:rsidRPr="009E4035">
        <w:rPr>
          <w:rFonts w:ascii="Arial" w:hAnsi="Arial" w:cs="Arial"/>
        </w:rPr>
        <w:tab/>
        <w:t>Comprender el modo de financiamiento de las políticas públicas, y la actividad recaudatoria del Estado.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-</w:t>
      </w:r>
      <w:r w:rsidRPr="009E4035">
        <w:rPr>
          <w:rFonts w:ascii="Arial" w:hAnsi="Arial" w:cs="Arial"/>
        </w:rPr>
        <w:tab/>
        <w:t>Identificar situaciones de cooperación y conflicto por los recursos y las competencias entre los poderes del Estado, y entre los Estados locales y el Estado nacional; conocer los mecanismos para su funcionamiento y los controles recíprocos.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-</w:t>
      </w:r>
      <w:r w:rsidRPr="009E4035">
        <w:rPr>
          <w:rFonts w:ascii="Arial" w:hAnsi="Arial" w:cs="Arial"/>
        </w:rPr>
        <w:tab/>
        <w:t>Reconocer las características políticas de los procesos de cooperación e integración internacional.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-</w:t>
      </w:r>
      <w:r w:rsidRPr="009E4035">
        <w:rPr>
          <w:rFonts w:ascii="Arial" w:hAnsi="Arial" w:cs="Arial"/>
        </w:rPr>
        <w:tab/>
        <w:t>Analizar los procesos de construcción de la identidad y los factores sociales, culturales, políticos y económicos que permiten darle forma.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-</w:t>
      </w:r>
      <w:r w:rsidRPr="009E4035">
        <w:rPr>
          <w:rFonts w:ascii="Arial" w:hAnsi="Arial" w:cs="Arial"/>
        </w:rPr>
        <w:tab/>
        <w:t>Identificar conductas y consumos riesgosos para la salud y conocer los recursos para la prevención y tratamiento existentes en la Ciudad. </w:t>
      </w:r>
    </w:p>
    <w:p w:rsidR="0054058C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lastRenderedPageBreak/>
        <w:t>-</w:t>
      </w:r>
      <w:r w:rsidRPr="009E4035">
        <w:rPr>
          <w:rFonts w:ascii="Arial" w:hAnsi="Arial" w:cs="Arial"/>
        </w:rPr>
        <w:tab/>
        <w:t>Reconocer los derechos y obligaciones de trabajadores y empleadores, y conocer el sistema de protección al trabajador en su dimensión individual, colectiva, y de la seguridad social.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</w:p>
    <w:p w:rsidR="00B7664A" w:rsidRPr="009E4035" w:rsidRDefault="0054058C" w:rsidP="009E4035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9E4035">
        <w:rPr>
          <w:rFonts w:ascii="Arial" w:hAnsi="Arial" w:cs="Arial"/>
          <w:b/>
          <w:u w:val="single"/>
        </w:rPr>
        <w:t>Contenidos</w:t>
      </w:r>
      <w:r w:rsidR="00D06228">
        <w:rPr>
          <w:rFonts w:ascii="Arial" w:hAnsi="Arial" w:cs="Arial"/>
          <w:b/>
          <w:u w:val="single"/>
        </w:rPr>
        <w:t xml:space="preserve"> organizados por bimestre</w:t>
      </w:r>
    </w:p>
    <w:p w:rsidR="00737744" w:rsidRPr="008B6384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b/>
          <w:sz w:val="22"/>
          <w:szCs w:val="22"/>
        </w:rPr>
      </w:pPr>
      <w:r w:rsidRPr="008B6384">
        <w:rPr>
          <w:rFonts w:ascii="Arial" w:eastAsia="Batang" w:hAnsi="Arial" w:cs="Arial"/>
          <w:b/>
          <w:sz w:val="22"/>
          <w:szCs w:val="22"/>
        </w:rPr>
        <w:t>Unidad 1</w:t>
      </w:r>
      <w:r w:rsidR="00D06228">
        <w:rPr>
          <w:rFonts w:ascii="Arial" w:eastAsia="Batang" w:hAnsi="Arial" w:cs="Arial"/>
          <w:b/>
          <w:sz w:val="22"/>
          <w:szCs w:val="22"/>
        </w:rPr>
        <w:t xml:space="preserve"> primer bimestre</w:t>
      </w:r>
      <w:r w:rsidRPr="008B6384">
        <w:rPr>
          <w:rFonts w:ascii="Arial" w:eastAsia="Batang" w:hAnsi="Arial" w:cs="Arial"/>
          <w:b/>
          <w:sz w:val="22"/>
          <w:szCs w:val="22"/>
        </w:rPr>
        <w:t>: Estado, gobierno y participación</w:t>
      </w:r>
    </w:p>
    <w:p w:rsidR="00737744" w:rsidRPr="009E4035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</w:p>
    <w:p w:rsidR="00737744" w:rsidRPr="009E4035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>La legitimidad del poder político y su dinámica institucional. El funcionamiento del gobierno republicano y representativo. Partidos políticos, grupos de interés, los medios de comunicación. Disenso, consenso, negociación y acuerdos.</w:t>
      </w:r>
    </w:p>
    <w:p w:rsidR="00737744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>Estado de derecho e interrupciones al orden democrático. Los golpes de Estado</w:t>
      </w:r>
      <w:r w:rsidR="000014D6">
        <w:rPr>
          <w:rFonts w:ascii="Arial" w:eastAsia="Batang" w:hAnsi="Arial" w:cs="Arial"/>
          <w:sz w:val="22"/>
          <w:szCs w:val="22"/>
        </w:rPr>
        <w:t xml:space="preserve"> en Argentina durante el siglo XX</w:t>
      </w:r>
      <w:r w:rsidRPr="009E4035">
        <w:rPr>
          <w:rFonts w:ascii="Arial" w:eastAsia="Batang" w:hAnsi="Arial" w:cs="Arial"/>
          <w:sz w:val="22"/>
          <w:szCs w:val="22"/>
        </w:rPr>
        <w:t xml:space="preserve">. </w:t>
      </w:r>
    </w:p>
    <w:p w:rsidR="000014D6" w:rsidRPr="009E4035" w:rsidRDefault="000014D6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</w:p>
    <w:p w:rsidR="000014D6" w:rsidRDefault="000014D6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8B6384">
        <w:rPr>
          <w:rFonts w:ascii="Arial" w:eastAsia="Batang" w:hAnsi="Arial" w:cs="Arial"/>
          <w:b/>
          <w:sz w:val="22"/>
          <w:szCs w:val="22"/>
        </w:rPr>
        <w:t>Unidad 2</w:t>
      </w:r>
      <w:r w:rsidR="00D06228">
        <w:rPr>
          <w:rFonts w:ascii="Arial" w:eastAsia="Batang" w:hAnsi="Arial" w:cs="Arial"/>
          <w:b/>
          <w:sz w:val="22"/>
          <w:szCs w:val="22"/>
        </w:rPr>
        <w:t xml:space="preserve"> segundo bimestre</w:t>
      </w:r>
      <w:r w:rsidRPr="008B6384">
        <w:rPr>
          <w:rFonts w:ascii="Arial" w:eastAsia="Batang" w:hAnsi="Arial" w:cs="Arial"/>
          <w:b/>
          <w:sz w:val="22"/>
          <w:szCs w:val="22"/>
        </w:rPr>
        <w:t xml:space="preserve">: Derechos. </w:t>
      </w:r>
      <w:r>
        <w:rPr>
          <w:rFonts w:ascii="Arial" w:eastAsia="Batang" w:hAnsi="Arial" w:cs="Arial"/>
          <w:b/>
          <w:sz w:val="22"/>
          <w:szCs w:val="22"/>
        </w:rPr>
        <w:t>Sistema internacional de protección de Derechos</w:t>
      </w:r>
    </w:p>
    <w:p w:rsidR="00737744" w:rsidRPr="009E4035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>El sistema de cooperación internacional. Aspectos políticos de la integración. Los agrupamientos en bloques, grupos, comunidades, mercados comunes y el impacto sobre el funcionamiento del Estado y sus políticas. La soberanía del Estado nacional en el mundo globalizado.</w:t>
      </w:r>
    </w:p>
    <w:p w:rsidR="00737744" w:rsidRPr="009E4035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>El concepto de derechos humanos, caracteres y el rol del Estado.</w:t>
      </w:r>
    </w:p>
    <w:p w:rsidR="00737744" w:rsidRPr="009E4035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 xml:space="preserve">Origen del sistema internacional y nacional de protección. La protección internacional de los derechos humanos. El sistema interamericano y el internacional. </w:t>
      </w:r>
    </w:p>
    <w:p w:rsidR="00737744" w:rsidRPr="009E4035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>Crímenes de lesa humanidad, tribunales internacionales de derechos humanos.</w:t>
      </w:r>
    </w:p>
    <w:p w:rsidR="00737744" w:rsidRPr="008B6384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b/>
          <w:sz w:val="22"/>
          <w:szCs w:val="22"/>
        </w:rPr>
      </w:pPr>
    </w:p>
    <w:p w:rsidR="00737744" w:rsidRPr="008B6384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b/>
          <w:sz w:val="22"/>
          <w:szCs w:val="22"/>
        </w:rPr>
      </w:pPr>
      <w:r w:rsidRPr="008B6384">
        <w:rPr>
          <w:rFonts w:ascii="Arial" w:eastAsia="Batang" w:hAnsi="Arial" w:cs="Arial"/>
          <w:b/>
          <w:sz w:val="22"/>
          <w:szCs w:val="22"/>
        </w:rPr>
        <w:t>Unidad 3</w:t>
      </w:r>
      <w:r w:rsidR="00D06228">
        <w:rPr>
          <w:rFonts w:ascii="Arial" w:eastAsia="Batang" w:hAnsi="Arial" w:cs="Arial"/>
          <w:b/>
          <w:sz w:val="22"/>
          <w:szCs w:val="22"/>
        </w:rPr>
        <w:t xml:space="preserve"> tercer bimestre</w:t>
      </w:r>
      <w:r w:rsidRPr="008B6384">
        <w:rPr>
          <w:rFonts w:ascii="Arial" w:eastAsia="Batang" w:hAnsi="Arial" w:cs="Arial"/>
          <w:b/>
          <w:sz w:val="22"/>
          <w:szCs w:val="22"/>
        </w:rPr>
        <w:t>: Derechos y trabajo</w:t>
      </w:r>
      <w:r w:rsidR="000970E4">
        <w:rPr>
          <w:rFonts w:ascii="Arial" w:eastAsia="Batang" w:hAnsi="Arial" w:cs="Arial"/>
          <w:b/>
          <w:sz w:val="22"/>
          <w:szCs w:val="22"/>
        </w:rPr>
        <w:t>. Luchas y conquistas</w:t>
      </w:r>
    </w:p>
    <w:p w:rsidR="00737744" w:rsidRPr="009E4035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</w:r>
      <w:r w:rsidR="000970E4">
        <w:rPr>
          <w:rFonts w:ascii="Arial" w:eastAsia="Batang" w:hAnsi="Arial" w:cs="Arial"/>
          <w:sz w:val="22"/>
          <w:szCs w:val="22"/>
        </w:rPr>
        <w:t xml:space="preserve">La conquista de los derechos laborales. </w:t>
      </w:r>
      <w:r w:rsidRPr="009E4035">
        <w:rPr>
          <w:rFonts w:ascii="Arial" w:eastAsia="Batang" w:hAnsi="Arial" w:cs="Arial"/>
          <w:sz w:val="22"/>
          <w:szCs w:val="22"/>
        </w:rPr>
        <w:t>La regulación del empleo y la asimetría del mercado de trabajo. Las normas laborales y el orden público laboral. Derechos y obligaciones de trabajadores y empleadores.</w:t>
      </w:r>
    </w:p>
    <w:p w:rsidR="00737744" w:rsidRPr="009E4035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>El trabajo de mujeres, niños y el trabajo en condiciones insalubres. Antecedentes y legislación actual.</w:t>
      </w:r>
    </w:p>
    <w:p w:rsidR="00737744" w:rsidRPr="009E4035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 xml:space="preserve">La regulación colectiva del trabajo. Mecanismos de negociación y acuerdos colectivos. </w:t>
      </w:r>
    </w:p>
    <w:p w:rsidR="00737744" w:rsidRPr="009E4035" w:rsidRDefault="00737744" w:rsidP="009E4035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>Las políticas de seguridad social, su origen y funciones. Sistemas de seguridad social, prestaciones y financiamiento.</w:t>
      </w:r>
    </w:p>
    <w:p w:rsidR="00B7664A" w:rsidRDefault="00B7664A" w:rsidP="009E4035">
      <w:pPr>
        <w:spacing w:after="120" w:line="360" w:lineRule="auto"/>
        <w:jc w:val="both"/>
        <w:rPr>
          <w:rFonts w:ascii="Arial" w:hAnsi="Arial" w:cs="Arial"/>
        </w:rPr>
      </w:pPr>
    </w:p>
    <w:p w:rsidR="008B6384" w:rsidRPr="008B6384" w:rsidRDefault="008B6384" w:rsidP="008B6384">
      <w:pPr>
        <w:pStyle w:val="Standard"/>
        <w:spacing w:after="120" w:line="360" w:lineRule="auto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hAnsi="Arial" w:cs="Arial"/>
        </w:rPr>
        <w:lastRenderedPageBreak/>
        <w:t>Unidad 4</w:t>
      </w:r>
      <w:r w:rsidR="00D06228">
        <w:rPr>
          <w:rFonts w:ascii="Arial" w:hAnsi="Arial" w:cs="Arial"/>
        </w:rPr>
        <w:t xml:space="preserve"> cuarto bimestre</w:t>
      </w:r>
      <w:bookmarkStart w:id="0" w:name="_GoBack"/>
      <w:bookmarkEnd w:id="0"/>
      <w:r>
        <w:rPr>
          <w:rFonts w:ascii="Arial" w:hAnsi="Arial" w:cs="Arial"/>
        </w:rPr>
        <w:t>:</w:t>
      </w:r>
      <w:r w:rsidRPr="008B6384">
        <w:rPr>
          <w:rFonts w:ascii="Arial" w:eastAsia="Batang" w:hAnsi="Arial" w:cs="Arial"/>
          <w:b/>
          <w:sz w:val="22"/>
          <w:szCs w:val="22"/>
        </w:rPr>
        <w:t xml:space="preserve"> Igualdad y Diferencias</w:t>
      </w:r>
      <w:r w:rsidR="000970E4">
        <w:rPr>
          <w:rFonts w:ascii="Arial" w:eastAsia="Batang" w:hAnsi="Arial" w:cs="Arial"/>
          <w:b/>
          <w:sz w:val="22"/>
          <w:szCs w:val="22"/>
        </w:rPr>
        <w:t xml:space="preserve">. </w:t>
      </w:r>
      <w:r w:rsidR="000970E4" w:rsidRPr="008B6384">
        <w:rPr>
          <w:rFonts w:ascii="Arial" w:eastAsia="Batang" w:hAnsi="Arial" w:cs="Arial"/>
          <w:b/>
          <w:sz w:val="22"/>
          <w:szCs w:val="22"/>
        </w:rPr>
        <w:t>Derechos y cuidad</w:t>
      </w:r>
      <w:r w:rsidR="000970E4">
        <w:rPr>
          <w:rFonts w:ascii="Arial" w:eastAsia="Batang" w:hAnsi="Arial" w:cs="Arial"/>
          <w:b/>
          <w:sz w:val="22"/>
          <w:szCs w:val="22"/>
        </w:rPr>
        <w:t>o</w:t>
      </w:r>
      <w:r w:rsidR="000970E4" w:rsidRPr="008B6384">
        <w:rPr>
          <w:rFonts w:ascii="Arial" w:eastAsia="Batang" w:hAnsi="Arial" w:cs="Arial"/>
          <w:b/>
          <w:sz w:val="22"/>
          <w:szCs w:val="22"/>
        </w:rPr>
        <w:t xml:space="preserve"> de sí y los otros.</w:t>
      </w:r>
    </w:p>
    <w:p w:rsidR="000970E4" w:rsidRPr="009E4035" w:rsidRDefault="000970E4" w:rsidP="000970E4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>Identidad personal, social y cultural.</w:t>
      </w:r>
    </w:p>
    <w:p w:rsidR="000970E4" w:rsidRPr="009E4035" w:rsidRDefault="000970E4" w:rsidP="000970E4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 xml:space="preserve">Los marcadores </w:t>
      </w:r>
      <w:proofErr w:type="spellStart"/>
      <w:r w:rsidRPr="009E4035">
        <w:rPr>
          <w:rFonts w:ascii="Arial" w:eastAsia="Batang" w:hAnsi="Arial" w:cs="Arial"/>
          <w:sz w:val="22"/>
          <w:szCs w:val="22"/>
        </w:rPr>
        <w:t>identitarios</w:t>
      </w:r>
      <w:proofErr w:type="spellEnd"/>
      <w:r w:rsidRPr="009E4035">
        <w:rPr>
          <w:rFonts w:ascii="Arial" w:eastAsia="Batang" w:hAnsi="Arial" w:cs="Arial"/>
          <w:sz w:val="22"/>
          <w:szCs w:val="22"/>
        </w:rPr>
        <w:t>: la edad, los consumos culturales, el género. Los cambios en las representaciones sobre la niñez y la adolescencia. Los adolescentes como grupo “consumidores” y como “sujeto de derechos”.</w:t>
      </w:r>
    </w:p>
    <w:p w:rsidR="000970E4" w:rsidRPr="009E4035" w:rsidRDefault="000970E4" w:rsidP="000970E4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Consumo responsable. El cuidado del espacio público y en la movilidad.</w:t>
      </w:r>
    </w:p>
    <w:p w:rsidR="000970E4" w:rsidRPr="009E4035" w:rsidRDefault="000970E4" w:rsidP="000970E4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>Accesibilidad a los recursos: leyes, programas y redes de asesoramiento, atención y tratamiento en materia de salud. Servicios de atención para adolescentes en la Ciudad.</w:t>
      </w:r>
    </w:p>
    <w:p w:rsidR="000970E4" w:rsidRPr="009E4035" w:rsidRDefault="000970E4" w:rsidP="000970E4">
      <w:pPr>
        <w:pStyle w:val="Standard"/>
        <w:spacing w:after="120" w:line="360" w:lineRule="auto"/>
        <w:rPr>
          <w:rFonts w:ascii="Arial" w:eastAsia="Batang" w:hAnsi="Arial" w:cs="Arial"/>
          <w:sz w:val="22"/>
          <w:szCs w:val="22"/>
        </w:rPr>
      </w:pPr>
      <w:r w:rsidRPr="009E4035">
        <w:rPr>
          <w:rFonts w:ascii="Arial" w:eastAsia="Batang" w:hAnsi="Arial" w:cs="Arial"/>
          <w:sz w:val="22"/>
          <w:szCs w:val="22"/>
        </w:rPr>
        <w:t>-</w:t>
      </w:r>
      <w:r w:rsidRPr="009E4035">
        <w:rPr>
          <w:rFonts w:ascii="Arial" w:eastAsia="Batang" w:hAnsi="Arial" w:cs="Arial"/>
          <w:sz w:val="22"/>
          <w:szCs w:val="22"/>
        </w:rPr>
        <w:tab/>
        <w:t>La construcción del proyecto de vida: la continuidad de los estudios, la inserción en el mundo del trabajo.</w:t>
      </w:r>
    </w:p>
    <w:p w:rsidR="008B6384" w:rsidRPr="009E4035" w:rsidRDefault="008B6384" w:rsidP="009E4035">
      <w:pPr>
        <w:spacing w:after="120" w:line="360" w:lineRule="auto"/>
        <w:jc w:val="both"/>
        <w:rPr>
          <w:rFonts w:ascii="Arial" w:hAnsi="Arial" w:cs="Arial"/>
        </w:rPr>
      </w:pPr>
    </w:p>
    <w:p w:rsidR="005D355A" w:rsidRPr="009E4035" w:rsidRDefault="005D355A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  <w:b/>
          <w:u w:val="single"/>
        </w:rPr>
        <w:t>Evaluación</w:t>
      </w:r>
    </w:p>
    <w:p w:rsidR="00DC7891" w:rsidRPr="009E4035" w:rsidRDefault="00DC7891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 xml:space="preserve">La </w:t>
      </w:r>
      <w:r w:rsidR="005C7475" w:rsidRPr="009E4035">
        <w:rPr>
          <w:rFonts w:ascii="Arial" w:hAnsi="Arial" w:cs="Arial"/>
        </w:rPr>
        <w:t xml:space="preserve">evaluación será en proceso y se basará en el logro de la autonomía personal y académica de los estudiantes, que se realizará a partir de procesos de evaluación, autoevaluación y </w:t>
      </w:r>
      <w:proofErr w:type="spellStart"/>
      <w:r w:rsidR="005C7475" w:rsidRPr="009E4035">
        <w:rPr>
          <w:rFonts w:ascii="Arial" w:hAnsi="Arial" w:cs="Arial"/>
        </w:rPr>
        <w:t>co</w:t>
      </w:r>
      <w:proofErr w:type="spellEnd"/>
      <w:r w:rsidR="005C7475" w:rsidRPr="009E4035">
        <w:rPr>
          <w:rFonts w:ascii="Arial" w:hAnsi="Arial" w:cs="Arial"/>
        </w:rPr>
        <w:t>-evaluación. Los criterios de evaluación a tener en cuenta serán:</w:t>
      </w:r>
    </w:p>
    <w:p w:rsidR="005C7475" w:rsidRPr="009E4035" w:rsidRDefault="00737744" w:rsidP="009E403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 xml:space="preserve">Manejo de los conceptos abordados durante la cursada: estado moderno, contexto de surgimiento, derechos humanos, golpes de estado en Argentina, las instancias supra estatales de organización. Estos nudos conceptuales deberán operar como herramientas para analizar </w:t>
      </w:r>
      <w:r w:rsidR="005C7475" w:rsidRPr="009E4035">
        <w:rPr>
          <w:rFonts w:ascii="Arial" w:hAnsi="Arial" w:cs="Arial"/>
        </w:rPr>
        <w:t>la realidad social con distintos grados de complejidad y profundización.</w:t>
      </w:r>
    </w:p>
    <w:p w:rsidR="005C7475" w:rsidRPr="009E4035" w:rsidRDefault="005C7475" w:rsidP="009E403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Manejo de la información trabajada en el curso. Organización de la información en notas, resúmenes, cuadros, redes conceptuales.</w:t>
      </w:r>
    </w:p>
    <w:p w:rsidR="005C7475" w:rsidRPr="009E4035" w:rsidRDefault="005C7475" w:rsidP="009E403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Claridad y coherencia en el desarrollo de explicaciones y argumentaciones. Uso pertinente del vocabulario específico.</w:t>
      </w:r>
    </w:p>
    <w:p w:rsidR="005C7475" w:rsidRPr="009E4035" w:rsidRDefault="005C7475" w:rsidP="009E4035">
      <w:pPr>
        <w:pStyle w:val="Prrafode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Compromiso con el trabajo en la materia: cumplimiento con los trabajos, participación y aporte a la tarea colectiva en el aula, desarrollo de una actitud de respeto y valoración ante el trabajo de los compañeros y capacidad de diálogo frente a la diferencia de opiniones y perspectivas.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>La evaluación de aprendizajes de actitudes y contenidos se construye en espejo de los objetivos planteados para la materia.</w:t>
      </w:r>
    </w:p>
    <w:p w:rsidR="00737744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t xml:space="preserve">Nos proponemos evaluar que los estudiantes alcancen cada uno de dichos objetivos. Para ello, los instrumentos de evaluación se construirán de manera articulada y coherente con aquellos contenidos y actitudes que efectivamente se trabajen con los estudiantes. </w:t>
      </w:r>
    </w:p>
    <w:p w:rsidR="005C7475" w:rsidRPr="009E4035" w:rsidRDefault="00737744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</w:rPr>
        <w:lastRenderedPageBreak/>
        <w:t>E</w:t>
      </w:r>
      <w:r w:rsidR="00AB1165">
        <w:rPr>
          <w:rFonts w:ascii="Arial" w:hAnsi="Arial" w:cs="Arial"/>
        </w:rPr>
        <w:t>n</w:t>
      </w:r>
      <w:r w:rsidRPr="009E4035">
        <w:rPr>
          <w:rFonts w:ascii="Arial" w:hAnsi="Arial" w:cs="Arial"/>
        </w:rPr>
        <w:t xml:space="preserve"> este sentido, plantearemos realizar por </w:t>
      </w:r>
      <w:r w:rsidR="000970E4">
        <w:rPr>
          <w:rFonts w:ascii="Arial" w:hAnsi="Arial" w:cs="Arial"/>
        </w:rPr>
        <w:t>cuatrimestre</w:t>
      </w:r>
      <w:r w:rsidRPr="009E4035">
        <w:rPr>
          <w:rFonts w:ascii="Arial" w:hAnsi="Arial" w:cs="Arial"/>
        </w:rPr>
        <w:t xml:space="preserve"> por lo menos un </w:t>
      </w:r>
      <w:r w:rsidR="000970E4">
        <w:rPr>
          <w:rFonts w:ascii="Arial" w:hAnsi="Arial" w:cs="Arial"/>
        </w:rPr>
        <w:t>t</w:t>
      </w:r>
      <w:r w:rsidRPr="009E4035">
        <w:rPr>
          <w:rFonts w:ascii="Arial" w:hAnsi="Arial" w:cs="Arial"/>
        </w:rPr>
        <w:t>rabajo</w:t>
      </w:r>
      <w:r w:rsidR="000970E4">
        <w:rPr>
          <w:rFonts w:ascii="Arial" w:hAnsi="Arial" w:cs="Arial"/>
        </w:rPr>
        <w:t xml:space="preserve"> </w:t>
      </w:r>
      <w:proofErr w:type="spellStart"/>
      <w:r w:rsidR="000970E4">
        <w:rPr>
          <w:rFonts w:ascii="Arial" w:hAnsi="Arial" w:cs="Arial"/>
        </w:rPr>
        <w:t>prácticogrupal</w:t>
      </w:r>
      <w:proofErr w:type="spellEnd"/>
      <w:r w:rsidR="000970E4">
        <w:rPr>
          <w:rFonts w:ascii="Arial" w:hAnsi="Arial" w:cs="Arial"/>
        </w:rPr>
        <w:t xml:space="preserve"> en clase</w:t>
      </w:r>
      <w:r w:rsidRPr="009E4035">
        <w:rPr>
          <w:rFonts w:ascii="Arial" w:hAnsi="Arial" w:cs="Arial"/>
        </w:rPr>
        <w:t xml:space="preserve"> y una evaluación escrita individual</w:t>
      </w:r>
      <w:r w:rsidR="000970E4">
        <w:rPr>
          <w:rFonts w:ascii="Arial" w:hAnsi="Arial" w:cs="Arial"/>
        </w:rPr>
        <w:t xml:space="preserve">, así como </w:t>
      </w:r>
      <w:r w:rsidR="008D6F6C">
        <w:rPr>
          <w:rFonts w:ascii="Arial" w:hAnsi="Arial" w:cs="Arial"/>
        </w:rPr>
        <w:t xml:space="preserve">también focalizaremos la atención en </w:t>
      </w:r>
      <w:r w:rsidR="000970E4">
        <w:rPr>
          <w:rFonts w:ascii="Arial" w:hAnsi="Arial" w:cs="Arial"/>
        </w:rPr>
        <w:t>los procesos de aprendizaje en las trayectorias individuales y colectivas</w:t>
      </w:r>
      <w:r w:rsidR="008D6F6C">
        <w:rPr>
          <w:rFonts w:ascii="Arial" w:hAnsi="Arial" w:cs="Arial"/>
        </w:rPr>
        <w:t xml:space="preserve"> del curso</w:t>
      </w:r>
      <w:r w:rsidRPr="009E4035">
        <w:rPr>
          <w:rFonts w:ascii="Arial" w:hAnsi="Arial" w:cs="Arial"/>
        </w:rPr>
        <w:t>.</w:t>
      </w:r>
    </w:p>
    <w:p w:rsidR="00B7664A" w:rsidRPr="009E4035" w:rsidRDefault="00B7664A" w:rsidP="009E4035">
      <w:pPr>
        <w:spacing w:after="120" w:line="360" w:lineRule="auto"/>
        <w:jc w:val="both"/>
        <w:rPr>
          <w:rFonts w:ascii="Arial" w:hAnsi="Arial" w:cs="Arial"/>
        </w:rPr>
      </w:pPr>
    </w:p>
    <w:p w:rsidR="00B7664A" w:rsidRPr="009E4035" w:rsidRDefault="00B7664A" w:rsidP="009E4035">
      <w:p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  <w:b/>
          <w:u w:val="single"/>
        </w:rPr>
        <w:t>Bibliografía</w:t>
      </w:r>
    </w:p>
    <w:p w:rsidR="00B7664A" w:rsidRPr="00AB1165" w:rsidRDefault="00B7664A" w:rsidP="009E4035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9E4035">
        <w:rPr>
          <w:rFonts w:ascii="Arial" w:hAnsi="Arial" w:cs="Arial"/>
          <w:lang w:val="es-ES"/>
        </w:rPr>
        <w:t>Bibliografía específica seleccionada por el docente.</w:t>
      </w:r>
    </w:p>
    <w:p w:rsidR="00AB1165" w:rsidRDefault="00AB1165" w:rsidP="009E4035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Constitución Nacional.</w:t>
      </w:r>
    </w:p>
    <w:p w:rsidR="00AB1165" w:rsidRPr="009E4035" w:rsidRDefault="00AB1165" w:rsidP="009E4035">
      <w:pPr>
        <w:pStyle w:val="Prrafode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Notas periodísticas.</w:t>
      </w:r>
    </w:p>
    <w:p w:rsidR="00B7664A" w:rsidRPr="009E4035" w:rsidRDefault="00B7664A" w:rsidP="009E4035">
      <w:pPr>
        <w:pStyle w:val="Prrafodelista"/>
        <w:spacing w:after="120" w:line="360" w:lineRule="auto"/>
        <w:jc w:val="both"/>
        <w:rPr>
          <w:rFonts w:ascii="Arial" w:hAnsi="Arial" w:cs="Arial"/>
        </w:rPr>
      </w:pPr>
    </w:p>
    <w:p w:rsidR="00B7664A" w:rsidRPr="009E4035" w:rsidRDefault="00B7664A" w:rsidP="009E4035">
      <w:pPr>
        <w:spacing w:after="120" w:line="360" w:lineRule="auto"/>
        <w:jc w:val="both"/>
        <w:rPr>
          <w:rFonts w:ascii="Arial" w:hAnsi="Arial" w:cs="Arial"/>
        </w:rPr>
      </w:pPr>
    </w:p>
    <w:sectPr w:rsidR="00B7664A" w:rsidRPr="009E4035" w:rsidSect="00D94894">
      <w:footerReference w:type="default" r:id="rId10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2B9" w:rsidRDefault="003852B9" w:rsidP="009E4035">
      <w:pPr>
        <w:spacing w:after="0" w:line="240" w:lineRule="auto"/>
      </w:pPr>
      <w:r>
        <w:separator/>
      </w:r>
    </w:p>
  </w:endnote>
  <w:endnote w:type="continuationSeparator" w:id="1">
    <w:p w:rsidR="003852B9" w:rsidRDefault="003852B9" w:rsidP="009E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077516"/>
      <w:docPartObj>
        <w:docPartGallery w:val="Page Numbers (Bottom of Page)"/>
        <w:docPartUnique/>
      </w:docPartObj>
    </w:sdtPr>
    <w:sdtContent>
      <w:p w:rsidR="009E4035" w:rsidRDefault="00796D95">
        <w:pPr>
          <w:pStyle w:val="Piedepgina"/>
          <w:jc w:val="right"/>
        </w:pPr>
        <w:r>
          <w:fldChar w:fldCharType="begin"/>
        </w:r>
        <w:r w:rsidR="009E4035">
          <w:instrText>PAGE   \* MERGEFORMAT</w:instrText>
        </w:r>
        <w:r>
          <w:fldChar w:fldCharType="separate"/>
        </w:r>
        <w:r w:rsidR="00BD4EF0" w:rsidRPr="00BD4EF0">
          <w:rPr>
            <w:noProof/>
            <w:lang w:val="es-ES"/>
          </w:rPr>
          <w:t>4</w:t>
        </w:r>
        <w:r>
          <w:fldChar w:fldCharType="end"/>
        </w:r>
      </w:p>
    </w:sdtContent>
  </w:sdt>
  <w:p w:rsidR="009E4035" w:rsidRDefault="009E40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2B9" w:rsidRDefault="003852B9" w:rsidP="009E4035">
      <w:pPr>
        <w:spacing w:after="0" w:line="240" w:lineRule="auto"/>
      </w:pPr>
      <w:r>
        <w:separator/>
      </w:r>
    </w:p>
  </w:footnote>
  <w:footnote w:type="continuationSeparator" w:id="1">
    <w:p w:rsidR="003852B9" w:rsidRDefault="003852B9" w:rsidP="009E4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033C"/>
    <w:multiLevelType w:val="hybridMultilevel"/>
    <w:tmpl w:val="8F2883F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C637F"/>
    <w:multiLevelType w:val="hybridMultilevel"/>
    <w:tmpl w:val="A47C98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459F9"/>
    <w:multiLevelType w:val="hybridMultilevel"/>
    <w:tmpl w:val="E07A38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11C3F"/>
    <w:multiLevelType w:val="hybridMultilevel"/>
    <w:tmpl w:val="A82ACB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FDF"/>
    <w:rsid w:val="000014D6"/>
    <w:rsid w:val="00081A72"/>
    <w:rsid w:val="000970E4"/>
    <w:rsid w:val="000D7E1A"/>
    <w:rsid w:val="00107557"/>
    <w:rsid w:val="001B39E6"/>
    <w:rsid w:val="00266DD5"/>
    <w:rsid w:val="002F7E51"/>
    <w:rsid w:val="00334FB5"/>
    <w:rsid w:val="003852B9"/>
    <w:rsid w:val="004216F4"/>
    <w:rsid w:val="0054058C"/>
    <w:rsid w:val="005567E9"/>
    <w:rsid w:val="005C7475"/>
    <w:rsid w:val="005D355A"/>
    <w:rsid w:val="00614FDF"/>
    <w:rsid w:val="00684F44"/>
    <w:rsid w:val="00737744"/>
    <w:rsid w:val="00761EB1"/>
    <w:rsid w:val="00796D95"/>
    <w:rsid w:val="008B6384"/>
    <w:rsid w:val="008D6F6C"/>
    <w:rsid w:val="008D7E3F"/>
    <w:rsid w:val="009E4035"/>
    <w:rsid w:val="00A3394E"/>
    <w:rsid w:val="00A94883"/>
    <w:rsid w:val="00AA6C87"/>
    <w:rsid w:val="00AB1165"/>
    <w:rsid w:val="00B7664A"/>
    <w:rsid w:val="00BD4EF0"/>
    <w:rsid w:val="00CE3661"/>
    <w:rsid w:val="00D06228"/>
    <w:rsid w:val="00D1266B"/>
    <w:rsid w:val="00D94894"/>
    <w:rsid w:val="00DC7891"/>
    <w:rsid w:val="00E17540"/>
    <w:rsid w:val="00E7730F"/>
    <w:rsid w:val="00F404B8"/>
    <w:rsid w:val="00F41BC7"/>
    <w:rsid w:val="00FF4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5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7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E4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035"/>
  </w:style>
  <w:style w:type="paragraph" w:styleId="Piedepgina">
    <w:name w:val="footer"/>
    <w:basedOn w:val="Normal"/>
    <w:link w:val="PiedepginaCar"/>
    <w:uiPriority w:val="99"/>
    <w:unhideWhenUsed/>
    <w:rsid w:val="009E4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035"/>
  </w:style>
  <w:style w:type="paragraph" w:customStyle="1" w:styleId="normal0">
    <w:name w:val="normal"/>
    <w:rsid w:val="00BD4EF0"/>
    <w:pPr>
      <w:spacing w:after="0"/>
    </w:pPr>
    <w:rPr>
      <w:rFonts w:ascii="Arial" w:eastAsia="Arial" w:hAnsi="Arial" w:cs="Arial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05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8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37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9E4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035"/>
  </w:style>
  <w:style w:type="paragraph" w:styleId="Piedepgina">
    <w:name w:val="footer"/>
    <w:basedOn w:val="Normal"/>
    <w:link w:val="PiedepginaCar"/>
    <w:uiPriority w:val="99"/>
    <w:unhideWhenUsed/>
    <w:rsid w:val="009E4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6539-63F2-498D-A877-CD2BD7CA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Sebasjari</dc:creator>
  <cp:lastModifiedBy>Agustin</cp:lastModifiedBy>
  <cp:revision>2</cp:revision>
  <dcterms:created xsi:type="dcterms:W3CDTF">2022-04-02T20:39:00Z</dcterms:created>
  <dcterms:modified xsi:type="dcterms:W3CDTF">2022-04-02T20:39:00Z</dcterms:modified>
</cp:coreProperties>
</file>