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109"/>
        </w:tabs>
        <w:jc w:val="center"/>
        <w:rPr>
          <w:rFonts w:ascii="Times New Roman" w:cs="Times New Roman" w:eastAsia="Times New Roman" w:hAnsi="Times New Roman"/>
          <w:color w:val="1f4e79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1f4e79"/>
          <w:sz w:val="40"/>
          <w:szCs w:val="40"/>
          <w:vertAlign w:val="baseline"/>
          <w:rtl w:val="0"/>
        </w:rPr>
        <w:t xml:space="preserve">Hacia nuevos paradigmas: perspectivas renovadoras en traducción y enseñanza de lenguas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28, 29 y 30 de agosto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450"/>
        <w:tblGridChange w:id="0">
          <w:tblGrid>
            <w:gridCol w:w="2835"/>
            <w:gridCol w:w="64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Apellido(s), Nombre(s)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nstitución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pertenencia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IES en Lenguas Vivas “Juan R. Fernández”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Eje temático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Título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 presentación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Resumen </w:t>
              <w:br w:type="textWrapping"/>
              <w:t xml:space="preserve">(500-800 palabras)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Referencias bibliográficas (según normas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Palabras clave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Carrera, idioma  y año de cursado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916045" cy="87820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16045" cy="878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pl-PL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4iYKey3Zf0PlwmlgpsiqW37Pzg==">CgMxLjA4AHIhMVNzZ0Z1aVlpX2hBdG9Ma2ptcGduZldhU0VjZGRfNjQ4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2024-02-19T22:24:00Z</dcterms:created>
  <dc:creator>Kasia</dc:creator>
</cp:coreProperties>
</file>